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F73FB1" w14:textId="77777777" w:rsidR="00FA1E0E" w:rsidRDefault="00FA1E0E" w:rsidP="00FA1E0E">
      <w:pPr>
        <w:jc w:val="center"/>
        <w:rPr>
          <w:rFonts w:ascii="Times New Roman" w:hAnsi="Times New Roman"/>
          <w:sz w:val="24"/>
          <w:szCs w:val="22"/>
        </w:rPr>
      </w:pPr>
      <w:r>
        <w:rPr>
          <w:rFonts w:ascii="Times New Roman" w:hAnsi="Times New Roman"/>
          <w:sz w:val="24"/>
        </w:rPr>
        <w:t>HR</w:t>
      </w:r>
    </w:p>
    <w:p w14:paraId="2A534E61" w14:textId="77777777" w:rsidR="00FA1E0E" w:rsidRDefault="00FA1E0E" w:rsidP="00FA1E0E">
      <w:pPr>
        <w:rPr>
          <w:rFonts w:asciiTheme="minorHAnsi" w:hAnsiTheme="minorHAnsi"/>
          <w:sz w:val="22"/>
        </w:rPr>
      </w:pPr>
    </w:p>
    <w:p w14:paraId="4613AAF8" w14:textId="77777777" w:rsidR="00C61CB8" w:rsidRPr="00037E7B" w:rsidRDefault="00C61CB8" w:rsidP="00C61CB8">
      <w:pPr>
        <w:jc w:val="center"/>
        <w:rPr>
          <w:rFonts w:ascii="Times New Roman" w:hAnsi="Times New Roman"/>
          <w:sz w:val="24"/>
        </w:rPr>
      </w:pPr>
      <w:r>
        <w:rPr>
          <w:rFonts w:ascii="Times New Roman" w:hAnsi="Times New Roman"/>
          <w:sz w:val="24"/>
        </w:rPr>
        <w:t>PRILOG II.</w:t>
      </w:r>
    </w:p>
    <w:p w14:paraId="7B92C63B" w14:textId="77777777" w:rsidR="00C61CB8" w:rsidRPr="00037E7B" w:rsidRDefault="00C61CB8" w:rsidP="00C61CB8">
      <w:pPr>
        <w:jc w:val="center"/>
        <w:rPr>
          <w:rFonts w:ascii="Times New Roman" w:hAnsi="Times New Roman"/>
          <w:sz w:val="24"/>
        </w:rPr>
      </w:pPr>
      <w:r>
        <w:rPr>
          <w:rFonts w:ascii="Times New Roman" w:hAnsi="Times New Roman"/>
          <w:sz w:val="24"/>
        </w:rPr>
        <w:t>„PRILOG II.</w:t>
      </w:r>
    </w:p>
    <w:p w14:paraId="48CBB2FB" w14:textId="77777777" w:rsidR="00C61CB8" w:rsidRPr="00037E7B" w:rsidRDefault="00C61CB8" w:rsidP="00C61CB8">
      <w:pPr>
        <w:jc w:val="center"/>
        <w:rPr>
          <w:rFonts w:ascii="Times New Roman" w:hAnsi="Times New Roman"/>
          <w:b/>
          <w:sz w:val="24"/>
        </w:rPr>
      </w:pPr>
      <w:r>
        <w:rPr>
          <w:rFonts w:ascii="Times New Roman" w:hAnsi="Times New Roman"/>
          <w:b/>
          <w:sz w:val="24"/>
        </w:rPr>
        <w:t>UPUTE ZA IZVJEŠĆIVANJE O REGULATORNOM KAPITALU I KAPITALNIM ZAHTJEVIMA</w:t>
      </w:r>
    </w:p>
    <w:p w14:paraId="499E103D" w14:textId="77777777" w:rsidR="00C61CB8" w:rsidRDefault="00C61CB8" w:rsidP="00C61CB8"/>
    <w:p w14:paraId="4FE1D1D2" w14:textId="77777777" w:rsidR="00C61CB8" w:rsidRDefault="00C61CB8" w:rsidP="00C61CB8">
      <w:pPr>
        <w:spacing w:before="0" w:after="0"/>
        <w:jc w:val="left"/>
        <w:rPr>
          <w:rStyle w:val="InstructionsTabelleText"/>
          <w:rFonts w:ascii="Times New Roman" w:hAnsi="Times New Roman"/>
          <w:b/>
          <w:bCs/>
          <w:sz w:val="24"/>
          <w:u w:val="single"/>
        </w:rPr>
      </w:pPr>
      <w:r>
        <w:rPr>
          <w:rStyle w:val="InstructionsTabelleText"/>
          <w:rFonts w:ascii="Times New Roman" w:hAnsi="Times New Roman"/>
          <w:b/>
          <w:sz w:val="24"/>
          <w:u w:val="single"/>
        </w:rPr>
        <w:t>DIO II.: UPUTE ZA POJEDINE OBRASCE</w:t>
      </w:r>
    </w:p>
    <w:p w14:paraId="253B4114" w14:textId="77777777" w:rsidR="00C61CB8" w:rsidRDefault="00C61CB8" w:rsidP="00C61CB8">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 </w:t>
      </w:r>
    </w:p>
    <w:p w14:paraId="6D3C634C" w14:textId="77777777" w:rsidR="00C61CB8" w:rsidRPr="00736637" w:rsidRDefault="00C61CB8" w:rsidP="00C61CB8">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p w14:paraId="1693FB12" w14:textId="77777777" w:rsidR="00C61CB8" w:rsidRDefault="00C61CB8"/>
    <w:p w14:paraId="696BE2FA" w14:textId="77777777" w:rsidR="00173F08" w:rsidRPr="002A677E" w:rsidRDefault="00173F08" w:rsidP="00173F08">
      <w:pPr>
        <w:pStyle w:val="Instructionsberschrift2"/>
        <w:numPr>
          <w:ilvl w:val="0"/>
          <w:numId w:val="0"/>
        </w:numPr>
        <w:ind w:left="357" w:hanging="357"/>
        <w:rPr>
          <w:rFonts w:ascii="Times New Roman" w:hAnsi="Times New Roman" w:cs="Times New Roman"/>
          <w:sz w:val="24"/>
        </w:rPr>
      </w:pPr>
      <w:r>
        <w:rPr>
          <w:rFonts w:ascii="Times New Roman" w:hAnsi="Times New Roman"/>
          <w:sz w:val="24"/>
        </w:rPr>
        <w:t>SOLVENTNOST GRUPE: INFORMACIJE O POVEZANIM DRUŠTVIMA (GS)</w:t>
      </w:r>
    </w:p>
    <w:p w14:paraId="6AEF8BDA" w14:textId="77777777" w:rsidR="00173F08" w:rsidRPr="002A677E" w:rsidRDefault="00173F08" w:rsidP="00173F08">
      <w:pPr>
        <w:pStyle w:val="Instructionsberschrift2"/>
        <w:numPr>
          <w:ilvl w:val="0"/>
          <w:numId w:val="0"/>
        </w:numPr>
        <w:ind w:left="357" w:hanging="357"/>
        <w:rPr>
          <w:rFonts w:ascii="Times New Roman" w:hAnsi="Times New Roman" w:cs="Times New Roman"/>
          <w:sz w:val="24"/>
        </w:rPr>
      </w:pPr>
      <w:bookmarkStart w:id="0" w:name="_Toc264038416"/>
      <w:bookmarkStart w:id="1" w:name="_Toc295829845"/>
      <w:bookmarkStart w:id="2" w:name="_Toc310415011"/>
      <w:bookmarkStart w:id="3" w:name="_Toc330394186"/>
      <w:bookmarkStart w:id="4" w:name="_Toc360188340"/>
      <w:bookmarkStart w:id="5" w:name="_Toc473560888"/>
      <w:bookmarkStart w:id="6" w:name="_Toc151714376"/>
      <w:r>
        <w:rPr>
          <w:rFonts w:ascii="Times New Roman" w:hAnsi="Times New Roman"/>
          <w:sz w:val="24"/>
          <w:u w:val="none"/>
        </w:rPr>
        <w:t>2.1.</w:t>
      </w:r>
      <w:r>
        <w:rPr>
          <w:rFonts w:ascii="Times New Roman" w:hAnsi="Times New Roman"/>
          <w:sz w:val="24"/>
          <w:u w:val="none"/>
        </w:rPr>
        <w:tab/>
      </w:r>
      <w:r>
        <w:rPr>
          <w:rFonts w:ascii="Times New Roman" w:hAnsi="Times New Roman"/>
          <w:sz w:val="24"/>
        </w:rPr>
        <w:t>Opće napomene</w:t>
      </w:r>
      <w:bookmarkEnd w:id="0"/>
      <w:bookmarkEnd w:id="1"/>
      <w:bookmarkEnd w:id="2"/>
      <w:bookmarkEnd w:id="3"/>
      <w:bookmarkEnd w:id="4"/>
      <w:bookmarkEnd w:id="5"/>
      <w:bookmarkEnd w:id="6"/>
    </w:p>
    <w:p w14:paraId="02D50DC7"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t>27</w:t>
      </w:r>
      <w:r>
        <w:fldChar w:fldCharType="end"/>
      </w:r>
      <w:r>
        <w:t>.</w:t>
      </w:r>
      <w:r>
        <w:tab/>
        <w:t>Izvješćivanje u skladu s obrascima C 06.01 i C 06.02 potrebno je ako se kapitalni zahtjevi izračunavaju na konsolidiranoj osnovi. Obrazac C 06.02 sastoji od četiri dijela radi prikupljanja različitih informacija o svim pojedinačnim subjektima (uključujući instituciju koja izvješćuje) uključenima u opseg konsolidacije.</w:t>
      </w:r>
    </w:p>
    <w:p w14:paraId="427E4E34" w14:textId="77777777" w:rsidR="00173F08" w:rsidRPr="002A677E" w:rsidRDefault="00173F08" w:rsidP="00173F08">
      <w:pPr>
        <w:pStyle w:val="InstructionsText2"/>
        <w:numPr>
          <w:ilvl w:val="0"/>
          <w:numId w:val="0"/>
        </w:numPr>
        <w:ind w:left="993"/>
      </w:pPr>
      <w:r>
        <w:t>(a)</w:t>
      </w:r>
      <w:r>
        <w:tab/>
        <w:t>Subjekti u opsegu konsolidacije;</w:t>
      </w:r>
    </w:p>
    <w:p w14:paraId="028B029B" w14:textId="77777777" w:rsidR="00173F08" w:rsidRPr="002A677E" w:rsidRDefault="00173F08" w:rsidP="00173F08">
      <w:pPr>
        <w:pStyle w:val="InstructionsText2"/>
        <w:numPr>
          <w:ilvl w:val="0"/>
          <w:numId w:val="0"/>
        </w:numPr>
        <w:ind w:left="993"/>
      </w:pPr>
      <w:r>
        <w:t>(b)</w:t>
      </w:r>
      <w:r>
        <w:tab/>
        <w:t>Detaljne informacije o solventnosti grupe;</w:t>
      </w:r>
    </w:p>
    <w:p w14:paraId="29EF9308" w14:textId="77777777" w:rsidR="00173F08" w:rsidRPr="002A677E" w:rsidRDefault="00173F08" w:rsidP="00173F08">
      <w:pPr>
        <w:pStyle w:val="InstructionsText2"/>
        <w:numPr>
          <w:ilvl w:val="0"/>
          <w:numId w:val="0"/>
        </w:numPr>
        <w:ind w:left="993"/>
      </w:pPr>
      <w:r>
        <w:t>(c)</w:t>
      </w:r>
      <w:r>
        <w:tab/>
        <w:t>Informacije o doprinosima pojedinačnih subjekata solventnosti grupe;</w:t>
      </w:r>
    </w:p>
    <w:p w14:paraId="66E85F84" w14:textId="77777777" w:rsidR="00173F08" w:rsidRPr="002A677E" w:rsidRDefault="00173F08" w:rsidP="00173F08">
      <w:pPr>
        <w:pStyle w:val="InstructionsText2"/>
        <w:numPr>
          <w:ilvl w:val="0"/>
          <w:numId w:val="0"/>
        </w:numPr>
        <w:ind w:left="993"/>
      </w:pPr>
      <w:r>
        <w:t>(d)</w:t>
      </w:r>
      <w:r>
        <w:tab/>
        <w:t>Informacije o zaštitnim slojevima kapitala;</w:t>
      </w:r>
    </w:p>
    <w:p w14:paraId="7BA531FA" w14:textId="701A6BC9" w:rsidR="00173F08" w:rsidRPr="002A677E" w:rsidRDefault="00173F08" w:rsidP="00173F08">
      <w:pPr>
        <w:pStyle w:val="InstructionsText2"/>
        <w:numPr>
          <w:ilvl w:val="0"/>
          <w:numId w:val="0"/>
        </w:numPr>
      </w:pPr>
      <w:r>
        <w:fldChar w:fldCharType="begin"/>
      </w:r>
      <w:r>
        <w:instrText>seq paragraphs</w:instrText>
      </w:r>
      <w:r>
        <w:fldChar w:fldCharType="separate"/>
      </w:r>
      <w:r>
        <w:t>28</w:t>
      </w:r>
      <w:r>
        <w:fldChar w:fldCharType="end"/>
      </w:r>
      <w:r>
        <w:t>.</w:t>
      </w:r>
      <w:r>
        <w:tab/>
        <w:t>Institucije izuzete u skladu s člankom 7. Uredbe (EU) br. 575/2013 iskazuju podatke samo u stupcima od 0010 do 0065 i od 0250 do 0400.</w:t>
      </w:r>
    </w:p>
    <w:p w14:paraId="0B7B3AA9"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t>29</w:t>
      </w:r>
      <w:r>
        <w:fldChar w:fldCharType="end"/>
      </w:r>
      <w:r>
        <w:t>.</w:t>
      </w:r>
      <w:r>
        <w:tab/>
        <w:t>U iskazanim vrijednostima uzimaju se u obzir sve primjenjive prijelazne odredbe Uredbe (EU) br. 575/2013 koje se primjenjuju na određeni izvještajni datum.</w:t>
      </w:r>
    </w:p>
    <w:p w14:paraId="11861C2C" w14:textId="77777777" w:rsidR="00173F08" w:rsidRPr="002A677E" w:rsidRDefault="00173F08" w:rsidP="00173F08">
      <w:pPr>
        <w:pStyle w:val="Instructionsberschrift2"/>
        <w:numPr>
          <w:ilvl w:val="0"/>
          <w:numId w:val="0"/>
        </w:numPr>
        <w:rPr>
          <w:rFonts w:ascii="Times New Roman" w:hAnsi="Times New Roman" w:cs="Times New Roman"/>
          <w:sz w:val="24"/>
        </w:rPr>
      </w:pPr>
      <w:bookmarkStart w:id="7" w:name="_Toc360188341"/>
      <w:bookmarkStart w:id="8" w:name="_Toc473560889"/>
      <w:bookmarkStart w:id="9" w:name="_Toc151714377"/>
      <w:r>
        <w:rPr>
          <w:rFonts w:ascii="Times New Roman" w:hAnsi="Times New Roman"/>
          <w:sz w:val="24"/>
          <w:u w:val="none"/>
        </w:rPr>
        <w:t>2.2.</w:t>
      </w:r>
      <w:r>
        <w:rPr>
          <w:rFonts w:ascii="Times New Roman" w:hAnsi="Times New Roman"/>
          <w:sz w:val="24"/>
          <w:u w:val="none"/>
        </w:rPr>
        <w:tab/>
      </w:r>
      <w:r>
        <w:rPr>
          <w:rFonts w:ascii="Times New Roman" w:hAnsi="Times New Roman"/>
          <w:sz w:val="24"/>
        </w:rPr>
        <w:t>Detaljne informacije o solventnosti grupe</w:t>
      </w:r>
      <w:bookmarkEnd w:id="7"/>
      <w:bookmarkEnd w:id="8"/>
      <w:bookmarkEnd w:id="9"/>
    </w:p>
    <w:p w14:paraId="60F36EFE" w14:textId="40A5EBCA" w:rsidR="00173F08" w:rsidRPr="002A677E" w:rsidRDefault="00173F08" w:rsidP="00173F08">
      <w:pPr>
        <w:pStyle w:val="InstructionsText2"/>
        <w:numPr>
          <w:ilvl w:val="0"/>
          <w:numId w:val="0"/>
        </w:numPr>
      </w:pPr>
      <w:r>
        <w:fldChar w:fldCharType="begin"/>
      </w:r>
      <w:r>
        <w:instrText>seq paragraphs</w:instrText>
      </w:r>
      <w:r>
        <w:fldChar w:fldCharType="separate"/>
      </w:r>
      <w:r>
        <w:t>30</w:t>
      </w:r>
      <w:r>
        <w:fldChar w:fldCharType="end"/>
      </w:r>
      <w:r>
        <w:t>.</w:t>
      </w:r>
      <w:r>
        <w:tab/>
        <w:t xml:space="preserve">Drugi dio ovog obrasca C 06.02 (detaljne informacije o solventnosti grupe) u stupcima od 0070 do 0240 namijenjen je za prikupljanje informacija o kreditnim i drugim reguliranim financijskim institucijama na koje se efektivno primjenjuju posebni zahtjevi o solventnosti na pojedinačnoj osnovi. U njemu se, za svakog od tih subjekata u opsegu izvješćivanja, navode kapitalni zahtjevi za svaku kategoriju rizika i regulatorni kapital za potrebe solventnosti. </w:t>
      </w:r>
    </w:p>
    <w:p w14:paraId="75F5EA26"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t>31</w:t>
      </w:r>
      <w:r>
        <w:fldChar w:fldCharType="end"/>
      </w:r>
      <w:r>
        <w:t>.</w:t>
      </w:r>
      <w:r>
        <w:tab/>
        <w:t>U slučaju proporcionalne konsolidacije sudjelujućih udjela, vrijednosti povezane s kapitalnim zahtjevima i regulatornim kapitalom odražavaju odgovarajuće proporcionalne iznose.</w:t>
      </w:r>
    </w:p>
    <w:p w14:paraId="7624B8E0" w14:textId="77777777" w:rsidR="00173F08" w:rsidRPr="002A677E" w:rsidRDefault="00173F08" w:rsidP="00173F08">
      <w:pPr>
        <w:pStyle w:val="Instructionsberschrift2"/>
        <w:numPr>
          <w:ilvl w:val="0"/>
          <w:numId w:val="0"/>
        </w:numPr>
        <w:rPr>
          <w:rFonts w:ascii="Times New Roman" w:hAnsi="Times New Roman" w:cs="Times New Roman"/>
          <w:sz w:val="24"/>
        </w:rPr>
      </w:pPr>
      <w:bookmarkStart w:id="10" w:name="_Toc360188342"/>
      <w:bookmarkStart w:id="11" w:name="_Toc473560890"/>
      <w:bookmarkStart w:id="12" w:name="_Toc151714378"/>
      <w:r>
        <w:rPr>
          <w:rFonts w:ascii="Times New Roman" w:hAnsi="Times New Roman"/>
          <w:sz w:val="24"/>
          <w:u w:val="none"/>
        </w:rPr>
        <w:lastRenderedPageBreak/>
        <w:t>2.3.</w:t>
      </w:r>
      <w:r>
        <w:rPr>
          <w:rFonts w:ascii="Times New Roman" w:hAnsi="Times New Roman"/>
          <w:sz w:val="24"/>
          <w:u w:val="none"/>
        </w:rPr>
        <w:tab/>
      </w:r>
      <w:r>
        <w:rPr>
          <w:rFonts w:ascii="Times New Roman" w:hAnsi="Times New Roman"/>
          <w:sz w:val="24"/>
        </w:rPr>
        <w:t>Informacije o doprinosima pojedinačnih subjekata solventnosti grupe</w:t>
      </w:r>
      <w:bookmarkEnd w:id="10"/>
      <w:bookmarkEnd w:id="11"/>
      <w:bookmarkEnd w:id="12"/>
    </w:p>
    <w:p w14:paraId="79D559FD"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t>32</w:t>
      </w:r>
      <w:r>
        <w:fldChar w:fldCharType="end"/>
      </w:r>
      <w:r>
        <w:t>.</w:t>
      </w:r>
      <w:r>
        <w:tab/>
        <w:t xml:space="preserve">Cilj je trećeg dijela obrasca C 06.02 i obrasca C 06.01 (informacije o svim subjektima u opsegu konsolidacije solventnosti grupe u skladu s Uredbom (EU) br. 575/2013), uključujući one na koje se ne primjenjuju posebni zahtjevi o solventnosti na pojedinačnoj osnovi, u stupcima od 0250 do 0400 utvrditi koji subjekti unutar grupe stvaraju rizik i povećavaju regulatorni kapital na tržištu, na temelju podataka koji su dostupni ili se mogu na jednostavan način ponovno obraditi, a da pritom nije potrebno ponovo izračunavati stopu kapitala na pojedinačnoj ili </w:t>
      </w:r>
      <w:proofErr w:type="spellStart"/>
      <w:r>
        <w:t>potkonsolidiranoj</w:t>
      </w:r>
      <w:proofErr w:type="spellEnd"/>
      <w:r>
        <w:t xml:space="preserve"> osnovi. Vrijednosti koje se odnose rizik i regulatorni kapital na razini su subjekta doprinosi vrijednostima grupe i nisu elementi stope solventnosti na pojedinačnoj osnove te se kao takve ne smiju uspoređivati jedne s drugima. </w:t>
      </w:r>
    </w:p>
    <w:p w14:paraId="08EA3F6A"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t>33</w:t>
      </w:r>
      <w:r>
        <w:fldChar w:fldCharType="end"/>
      </w:r>
      <w:r>
        <w:t>.</w:t>
      </w:r>
      <w:r>
        <w:tab/>
        <w:t>Treći dio uključuje i iznose manjinskih udjela, kvalificiranog dodatnog osnovnog kapitala i kvalificiranog dopunskog kapitala koji se priznaju u konsolidiranom regulatornom kapitalu.</w:t>
      </w:r>
    </w:p>
    <w:p w14:paraId="1D8F8CC4"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t>34</w:t>
      </w:r>
      <w:r>
        <w:fldChar w:fldCharType="end"/>
      </w:r>
      <w:r>
        <w:t>.</w:t>
      </w:r>
      <w:r>
        <w:tab/>
        <w:t>Budući da se treći dio obrasca odnosi na „doprinose”, vrijednosti koje je ovdje potrebno iskazati razlikuju se, prema potrebi, od vrijednosti iskazanih u stupcima koji se odnose na detaljne informacije o solventnosti grupe.</w:t>
      </w:r>
    </w:p>
    <w:p w14:paraId="27180B14"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t>35</w:t>
      </w:r>
      <w:r>
        <w:fldChar w:fldCharType="end"/>
      </w:r>
      <w:r>
        <w:t>.</w:t>
      </w:r>
      <w:r>
        <w:tab/>
        <w:t>U načelu se ravnomjerno brišu unakrsne izloženosti unutar iste grupe u smislu rizika ili regulatornog kapitala, kako bi se pokrili iznosi iskazani u konsolidiranom obrascu CA grupe dodavanjem iznosa iskazanih za svaki subjekt u obrascu „Solventnost grupe”. Ako prag od 1 % nije premašen, izravna poveznica na obrazac CA nije moguća.</w:t>
      </w:r>
    </w:p>
    <w:p w14:paraId="606DC9DE"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t>36</w:t>
      </w:r>
      <w:r>
        <w:fldChar w:fldCharType="end"/>
      </w:r>
      <w:r>
        <w:t>.</w:t>
      </w:r>
      <w:r>
        <w:tab/>
        <w:t>Institucije definiraju najprimjereniju metodu raščlambe subjekata kako bi se u obzir uzeli mogući učinci diversifikacije za tržišni i operativni rizik.</w:t>
      </w:r>
    </w:p>
    <w:p w14:paraId="6EE62E0D"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t>37</w:t>
      </w:r>
      <w:r>
        <w:fldChar w:fldCharType="end"/>
      </w:r>
      <w:r>
        <w:t>.</w:t>
      </w:r>
      <w:r>
        <w:tab/>
        <w:t xml:space="preserve">Jedna konsolidirana grupa može biti uključena u drugu konsolidiranu grupu. U tom se slučaju o subjektima unutar podgrupe izvješćuje na pojedinačnoj osnovi u obrascu GS cijele grupe čak i onda kada i sama podgrupa podliježe zahtjevima izvješćivanja. Podgrupa koja podliježe zahtjevima izvješćivanja izvješćuje o subjektima na pojedinačnoj osnovi u obrascu GS iako su ti podaci uključeni u obrazac GS više konsolidirane grupe. </w:t>
      </w:r>
    </w:p>
    <w:p w14:paraId="0F8191DA"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t>38</w:t>
      </w:r>
      <w:r>
        <w:fldChar w:fldCharType="end"/>
      </w:r>
      <w:r>
        <w:t>.</w:t>
      </w:r>
      <w:r>
        <w:tab/>
        <w:t>Institucija iskazuje podatke o doprinosu subjekta ako njegov doprinos iznosu ukupne izloženosti riziku premašuje 1 % iznosa ukupne izloženosti riziku grupe ili ako njegov doprinos ukupnom regulatornom kapitalu premašuje 1 % ukupnog regulatornog kapitala grupe. Taj se prag ne primjenjuje u slučaju društava kćeri ili podgrupa koje grupi osiguravaju regulatorni kapital (u obliku manjinskih udjela ili instrumenata kvalificiranog dodatnog osnovnog kapitala ili dopunskog kapitala uključenih u regulatorni kapital).</w:t>
      </w:r>
    </w:p>
    <w:p w14:paraId="78C505AC" w14:textId="77777777" w:rsidR="00173F08" w:rsidRPr="002A677E" w:rsidRDefault="00173F08" w:rsidP="00173F08">
      <w:pPr>
        <w:pStyle w:val="Instructionsberschrift2"/>
        <w:numPr>
          <w:ilvl w:val="0"/>
          <w:numId w:val="0"/>
        </w:numPr>
        <w:ind w:left="357" w:hanging="357"/>
        <w:rPr>
          <w:rFonts w:ascii="Times New Roman" w:hAnsi="Times New Roman" w:cs="Times New Roman"/>
          <w:sz w:val="24"/>
        </w:rPr>
      </w:pPr>
      <w:bookmarkStart w:id="13" w:name="_Toc473560891"/>
      <w:bookmarkStart w:id="14" w:name="_Toc151714379"/>
      <w:r>
        <w:rPr>
          <w:rFonts w:ascii="Times New Roman" w:hAnsi="Times New Roman"/>
          <w:sz w:val="24"/>
          <w:u w:val="none"/>
        </w:rPr>
        <w:t>2.4.</w:t>
      </w:r>
      <w:r>
        <w:rPr>
          <w:rFonts w:ascii="Times New Roman" w:hAnsi="Times New Roman"/>
          <w:sz w:val="24"/>
          <w:u w:val="none"/>
        </w:rPr>
        <w:tab/>
      </w:r>
      <w:r>
        <w:rPr>
          <w:rFonts w:ascii="Times New Roman" w:hAnsi="Times New Roman"/>
          <w:sz w:val="24"/>
        </w:rPr>
        <w:t>C 06.01 – SOLVENTNOST GRUPE: INFORMACIJE O POVEZANIM DRUŠTVIMA - Ukupno (GS Ukupno)</w:t>
      </w:r>
      <w:bookmarkEnd w:id="13"/>
      <w:bookmarkEnd w:id="1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173F08" w:rsidRPr="002A677E" w14:paraId="4A15857B" w14:textId="77777777" w:rsidTr="00822842">
        <w:tc>
          <w:tcPr>
            <w:tcW w:w="1188" w:type="dxa"/>
            <w:shd w:val="clear" w:color="auto" w:fill="CCCCCC"/>
          </w:tcPr>
          <w:p w14:paraId="3977A181" w14:textId="77777777" w:rsidR="00173F08" w:rsidRPr="001235ED" w:rsidRDefault="00173F08" w:rsidP="00822842">
            <w:pPr>
              <w:rPr>
                <w:rStyle w:val="InstructionsTabelleText"/>
                <w:rFonts w:ascii="Times New Roman" w:hAnsi="Times New Roman"/>
                <w:sz w:val="24"/>
              </w:rPr>
            </w:pPr>
            <w:r>
              <w:rPr>
                <w:rStyle w:val="InstructionsTabelleText"/>
                <w:rFonts w:ascii="Times New Roman" w:hAnsi="Times New Roman"/>
                <w:sz w:val="24"/>
              </w:rPr>
              <w:t>Stupci</w:t>
            </w:r>
          </w:p>
        </w:tc>
        <w:tc>
          <w:tcPr>
            <w:tcW w:w="8640" w:type="dxa"/>
            <w:shd w:val="clear" w:color="auto" w:fill="CCCCCC"/>
          </w:tcPr>
          <w:p w14:paraId="3D7B9BD1"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Upute</w:t>
            </w:r>
          </w:p>
        </w:tc>
      </w:tr>
      <w:tr w:rsidR="00173F08" w:rsidRPr="002A677E" w14:paraId="0E9AB27C" w14:textId="77777777" w:rsidTr="00822842">
        <w:tc>
          <w:tcPr>
            <w:tcW w:w="1188" w:type="dxa"/>
          </w:tcPr>
          <w:p w14:paraId="36AE9062"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0250-0400</w:t>
            </w:r>
          </w:p>
        </w:tc>
        <w:tc>
          <w:tcPr>
            <w:tcW w:w="8640" w:type="dxa"/>
          </w:tcPr>
          <w:p w14:paraId="61E5CB21"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SUBJEKTI U OPSEGU KONSOLIDACIJE</w:t>
            </w:r>
          </w:p>
          <w:p w14:paraId="47AE8E6C" w14:textId="77777777" w:rsidR="00173F08" w:rsidRPr="002A677E" w:rsidRDefault="00173F08" w:rsidP="00822842">
            <w:pPr>
              <w:rPr>
                <w:rStyle w:val="InstructionsTabelleberschrift"/>
                <w:rFonts w:ascii="Times New Roman" w:hAnsi="Times New Roman"/>
                <w:b w:val="0"/>
                <w:bCs w:val="0"/>
                <w:sz w:val="24"/>
              </w:rPr>
            </w:pPr>
            <w:r>
              <w:rPr>
                <w:rStyle w:val="InstructionsTabelleText"/>
                <w:rFonts w:ascii="Times New Roman" w:hAnsi="Times New Roman"/>
                <w:sz w:val="24"/>
              </w:rPr>
              <w:t>Vidjeti upute za obrazac C 06.02.</w:t>
            </w:r>
          </w:p>
        </w:tc>
      </w:tr>
      <w:tr w:rsidR="00173F08" w:rsidRPr="002A677E" w14:paraId="2B2AB6C8" w14:textId="77777777" w:rsidTr="00822842">
        <w:tc>
          <w:tcPr>
            <w:tcW w:w="1188" w:type="dxa"/>
            <w:tcBorders>
              <w:top w:val="single" w:sz="4" w:space="0" w:color="auto"/>
              <w:left w:val="single" w:sz="4" w:space="0" w:color="auto"/>
              <w:bottom w:val="single" w:sz="4" w:space="0" w:color="auto"/>
              <w:right w:val="single" w:sz="4" w:space="0" w:color="auto"/>
            </w:tcBorders>
          </w:tcPr>
          <w:p w14:paraId="5FBDEC14"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0410-0480</w:t>
            </w:r>
          </w:p>
        </w:tc>
        <w:tc>
          <w:tcPr>
            <w:tcW w:w="8640" w:type="dxa"/>
            <w:tcBorders>
              <w:top w:val="single" w:sz="4" w:space="0" w:color="auto"/>
              <w:left w:val="single" w:sz="4" w:space="0" w:color="auto"/>
              <w:bottom w:val="single" w:sz="4" w:space="0" w:color="auto"/>
              <w:right w:val="single" w:sz="4" w:space="0" w:color="auto"/>
            </w:tcBorders>
          </w:tcPr>
          <w:p w14:paraId="14169B7A"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ZAŠTITNI SLOJEVI KAPITALA</w:t>
            </w:r>
          </w:p>
          <w:p w14:paraId="4257537D"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Vidjeti upute za obrazac C 06.02.</w:t>
            </w:r>
          </w:p>
        </w:tc>
      </w:tr>
    </w:tbl>
    <w:p w14:paraId="20B2DE5D" w14:textId="77777777" w:rsidR="00173F08" w:rsidRPr="002A677E" w:rsidRDefault="00173F08" w:rsidP="00173F08">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173F08" w:rsidRPr="002A677E" w14:paraId="54185503" w14:textId="77777777" w:rsidTr="00822842">
        <w:tc>
          <w:tcPr>
            <w:tcW w:w="1188" w:type="dxa"/>
            <w:shd w:val="clear" w:color="auto" w:fill="CCCCCC"/>
          </w:tcPr>
          <w:p w14:paraId="0909691C" w14:textId="77777777" w:rsidR="00173F08" w:rsidRPr="001235ED" w:rsidRDefault="00173F08" w:rsidP="00822842">
            <w:pPr>
              <w:rPr>
                <w:rStyle w:val="InstructionsTabelleText"/>
                <w:rFonts w:ascii="Times New Roman" w:hAnsi="Times New Roman"/>
                <w:sz w:val="24"/>
              </w:rPr>
            </w:pPr>
            <w:r>
              <w:rPr>
                <w:rStyle w:val="InstructionsTabelleText"/>
                <w:rFonts w:ascii="Times New Roman" w:hAnsi="Times New Roman"/>
                <w:sz w:val="24"/>
              </w:rPr>
              <w:t>Redci</w:t>
            </w:r>
          </w:p>
        </w:tc>
        <w:tc>
          <w:tcPr>
            <w:tcW w:w="8640" w:type="dxa"/>
            <w:shd w:val="clear" w:color="auto" w:fill="CCCCCC"/>
          </w:tcPr>
          <w:p w14:paraId="49120A0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Upute</w:t>
            </w:r>
          </w:p>
        </w:tc>
      </w:tr>
      <w:tr w:rsidR="00173F08" w:rsidRPr="002A677E" w14:paraId="6283A16E" w14:textId="77777777" w:rsidTr="00822842">
        <w:tc>
          <w:tcPr>
            <w:tcW w:w="1188" w:type="dxa"/>
          </w:tcPr>
          <w:p w14:paraId="44822816"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14:paraId="50489F38"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UKUPNO</w:t>
            </w:r>
          </w:p>
          <w:p w14:paraId="0D110F46" w14:textId="77777777" w:rsidR="00173F08" w:rsidRPr="002A677E" w:rsidRDefault="00173F08" w:rsidP="00822842">
            <w:pPr>
              <w:rPr>
                <w:rStyle w:val="InstructionsTabelleberschrift"/>
                <w:rFonts w:ascii="Times New Roman" w:hAnsi="Times New Roman"/>
                <w:b w:val="0"/>
                <w:bCs w:val="0"/>
                <w:sz w:val="24"/>
              </w:rPr>
            </w:pPr>
            <w:r>
              <w:rPr>
                <w:rStyle w:val="InstructionsTabelleText"/>
                <w:rFonts w:ascii="Times New Roman" w:hAnsi="Times New Roman"/>
                <w:sz w:val="24"/>
              </w:rPr>
              <w:t>Iskazuje se zbroj vrijednosti iskazanih u svim redcima obrasca C 06.02.</w:t>
            </w:r>
          </w:p>
        </w:tc>
      </w:tr>
    </w:tbl>
    <w:p w14:paraId="6ED4F138" w14:textId="77777777" w:rsidR="00173F08" w:rsidRPr="002A677E" w:rsidRDefault="00173F08" w:rsidP="00173F08">
      <w:pPr>
        <w:pStyle w:val="InstructionsText"/>
      </w:pPr>
    </w:p>
    <w:p w14:paraId="7A36DFA3" w14:textId="77777777" w:rsidR="00173F08" w:rsidRPr="002A677E" w:rsidRDefault="00173F08" w:rsidP="00173F08">
      <w:pPr>
        <w:pStyle w:val="Instructionsberschrift2"/>
        <w:numPr>
          <w:ilvl w:val="0"/>
          <w:numId w:val="0"/>
        </w:numPr>
        <w:ind w:left="357" w:hanging="357"/>
        <w:rPr>
          <w:rFonts w:ascii="Times New Roman" w:hAnsi="Times New Roman" w:cs="Times New Roman"/>
          <w:sz w:val="24"/>
        </w:rPr>
      </w:pPr>
      <w:bookmarkStart w:id="15" w:name="_Toc473560892"/>
      <w:bookmarkStart w:id="16" w:name="_Toc151714380"/>
      <w:r>
        <w:rPr>
          <w:rFonts w:ascii="Times New Roman" w:hAnsi="Times New Roman"/>
          <w:sz w:val="24"/>
          <w:u w:val="none"/>
        </w:rPr>
        <w:t>2.5.</w:t>
      </w:r>
      <w:r>
        <w:rPr>
          <w:rFonts w:ascii="Times New Roman" w:hAnsi="Times New Roman"/>
          <w:sz w:val="24"/>
          <w:u w:val="none"/>
        </w:rPr>
        <w:tab/>
      </w:r>
      <w:r>
        <w:rPr>
          <w:rFonts w:ascii="Times New Roman" w:hAnsi="Times New Roman"/>
          <w:sz w:val="24"/>
        </w:rPr>
        <w:t>C 06.02 – SOLVENTNOST GRUPE: INFORMACIJE O POVEZANIM DRUŠTVIMA (GS)</w:t>
      </w:r>
      <w:bookmarkEnd w:id="15"/>
      <w:bookmarkEnd w:id="16"/>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173F08" w:rsidRPr="002A677E" w14:paraId="381D52BF" w14:textId="77777777" w:rsidTr="00822842">
        <w:tc>
          <w:tcPr>
            <w:tcW w:w="1188" w:type="dxa"/>
            <w:shd w:val="clear" w:color="auto" w:fill="CCCCCC"/>
          </w:tcPr>
          <w:p w14:paraId="262E5871" w14:textId="77777777" w:rsidR="00173F08" w:rsidRPr="001235ED" w:rsidRDefault="00173F08" w:rsidP="00822842">
            <w:pPr>
              <w:rPr>
                <w:rStyle w:val="InstructionsTabelleText"/>
                <w:rFonts w:ascii="Times New Roman" w:hAnsi="Times New Roman"/>
                <w:sz w:val="24"/>
              </w:rPr>
            </w:pPr>
            <w:r>
              <w:rPr>
                <w:rStyle w:val="InstructionsTabelleText"/>
                <w:rFonts w:ascii="Times New Roman" w:hAnsi="Times New Roman"/>
                <w:sz w:val="24"/>
              </w:rPr>
              <w:t>Stupci</w:t>
            </w:r>
          </w:p>
        </w:tc>
        <w:tc>
          <w:tcPr>
            <w:tcW w:w="8640" w:type="dxa"/>
            <w:shd w:val="clear" w:color="auto" w:fill="CCCCCC"/>
          </w:tcPr>
          <w:p w14:paraId="5B03B400"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Upute</w:t>
            </w:r>
          </w:p>
        </w:tc>
      </w:tr>
      <w:tr w:rsidR="00173F08" w:rsidRPr="002A677E" w14:paraId="3BC0042D" w14:textId="77777777" w:rsidTr="00822842">
        <w:tc>
          <w:tcPr>
            <w:tcW w:w="1188" w:type="dxa"/>
          </w:tcPr>
          <w:p w14:paraId="57FC2EB2"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0011-0060</w:t>
            </w:r>
          </w:p>
        </w:tc>
        <w:tc>
          <w:tcPr>
            <w:tcW w:w="8640" w:type="dxa"/>
          </w:tcPr>
          <w:p w14:paraId="00983D2E"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SUBJEKTI U OPSEGU KONSOLIDACIJE</w:t>
            </w:r>
          </w:p>
          <w:p w14:paraId="6B6FD15E" w14:textId="77777777" w:rsidR="00173F08" w:rsidRPr="002A677E" w:rsidRDefault="00173F08" w:rsidP="00822842">
            <w:pPr>
              <w:rPr>
                <w:rStyle w:val="InstructionsTabelleberschrift"/>
                <w:rFonts w:ascii="Times New Roman" w:hAnsi="Times New Roman"/>
                <w:b w:val="0"/>
                <w:bCs w:val="0"/>
                <w:sz w:val="24"/>
              </w:rPr>
            </w:pPr>
            <w:r>
              <w:rPr>
                <w:rFonts w:ascii="Times New Roman" w:hAnsi="Times New Roman"/>
                <w:sz w:val="24"/>
              </w:rPr>
              <w:t>Ovaj je obrazac namijenjen za prikupljanje informacija o svim subjektima u opsegu konsolidacije na pojedinačnoj osnovi u skladu s dijelom prvim glavom II. poglavljem 2. Uredbe (EU) br. 575/2013.</w:t>
            </w:r>
            <w:r>
              <w:rPr>
                <w:rStyle w:val="InstructionsTabelleText"/>
                <w:rFonts w:ascii="Times New Roman" w:hAnsi="Times New Roman"/>
                <w:sz w:val="24"/>
              </w:rPr>
              <w:t xml:space="preserve"> </w:t>
            </w:r>
          </w:p>
        </w:tc>
      </w:tr>
      <w:tr w:rsidR="00173F08" w:rsidRPr="002A677E" w14:paraId="7681C175" w14:textId="77777777" w:rsidTr="00822842">
        <w:tc>
          <w:tcPr>
            <w:tcW w:w="1188" w:type="dxa"/>
          </w:tcPr>
          <w:p w14:paraId="506D0F7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0011</w:t>
            </w:r>
          </w:p>
        </w:tc>
        <w:tc>
          <w:tcPr>
            <w:tcW w:w="8640" w:type="dxa"/>
          </w:tcPr>
          <w:p w14:paraId="02F7D96C"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NAZIV</w:t>
            </w:r>
          </w:p>
          <w:p w14:paraId="795CC1BF"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Naziv subjekta u opsegu konsolidacije.</w:t>
            </w:r>
          </w:p>
        </w:tc>
      </w:tr>
      <w:tr w:rsidR="00173F08" w:rsidRPr="002A677E" w14:paraId="2E707E2D" w14:textId="77777777" w:rsidTr="00822842">
        <w:tc>
          <w:tcPr>
            <w:tcW w:w="1188" w:type="dxa"/>
          </w:tcPr>
          <w:p w14:paraId="6AE7AD32"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0021</w:t>
            </w:r>
          </w:p>
        </w:tc>
        <w:tc>
          <w:tcPr>
            <w:tcW w:w="8640" w:type="dxa"/>
          </w:tcPr>
          <w:p w14:paraId="54EC5591"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OZNAKA</w:t>
            </w:r>
          </w:p>
          <w:p w14:paraId="099B8601" w14:textId="77777777" w:rsidR="00173F08" w:rsidRPr="002A677E" w:rsidRDefault="00173F08" w:rsidP="00822842">
            <w:pPr>
              <w:pStyle w:val="InstructionsText"/>
              <w:rPr>
                <w:rStyle w:val="InstructionsTabelleText"/>
              </w:rPr>
            </w:pPr>
            <w:r>
              <w:rPr>
                <w:rStyle w:val="InstructionsTabelleText"/>
              </w:rPr>
              <w:t>Oznaka kao dio identifikatora retka mora biti jedinstvena za svaki subjekt o kojem se izvješćuje. Oznaka za institucije i društva za osiguranje je oznaka LEI. Oznaka za druge subjekte je oznaka LEI, ili ako nije dostupna, nacionalna oznaka. Oznaka je jedinstvena i cijelo se vrijeme koristi dosljedno u svim obrascima. Oznaka uvijek mora imati vrijednost.</w:t>
            </w:r>
          </w:p>
        </w:tc>
      </w:tr>
      <w:tr w:rsidR="00173F08" w:rsidRPr="002A677E" w14:paraId="082E2FA1" w14:textId="77777777" w:rsidTr="00822842">
        <w:tc>
          <w:tcPr>
            <w:tcW w:w="1188" w:type="dxa"/>
          </w:tcPr>
          <w:p w14:paraId="2CA54576"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0026</w:t>
            </w:r>
          </w:p>
        </w:tc>
        <w:tc>
          <w:tcPr>
            <w:tcW w:w="8640" w:type="dxa"/>
          </w:tcPr>
          <w:p w14:paraId="5B6693C9"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VRSTA OZNAKE</w:t>
            </w:r>
          </w:p>
          <w:p w14:paraId="094070A5"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Institucije navode vrstu oznake iskazane u</w:t>
            </w:r>
            <w:r>
              <w:rPr>
                <w:rStyle w:val="FormatvorlageInstructionsTabelleText"/>
                <w:rFonts w:ascii="Times New Roman" w:hAnsi="Times New Roman"/>
                <w:sz w:val="24"/>
              </w:rPr>
              <w:t xml:space="preserve"> stupcu 0021 kao „oznaka LEI” ili „oznaka koja nije LEI”. Vrsta oznake uvijek se iskazuje.</w:t>
            </w:r>
          </w:p>
        </w:tc>
      </w:tr>
      <w:tr w:rsidR="00173F08" w:rsidRPr="002A677E" w14:paraId="115CCEB9" w14:textId="77777777" w:rsidTr="00822842">
        <w:tc>
          <w:tcPr>
            <w:tcW w:w="1188" w:type="dxa"/>
          </w:tcPr>
          <w:p w14:paraId="6EE5E41D" w14:textId="77777777" w:rsidR="00173F08" w:rsidRPr="002A677E" w:rsidDel="00BF0637" w:rsidRDefault="00173F08" w:rsidP="00822842">
            <w:pPr>
              <w:rPr>
                <w:rStyle w:val="InstructionsTabelleText"/>
                <w:rFonts w:ascii="Times New Roman" w:hAnsi="Times New Roman"/>
                <w:sz w:val="24"/>
              </w:rPr>
            </w:pPr>
            <w:r>
              <w:rPr>
                <w:rStyle w:val="InstructionsTabelleText"/>
                <w:rFonts w:ascii="Times New Roman" w:hAnsi="Times New Roman"/>
                <w:sz w:val="24"/>
              </w:rPr>
              <w:t>0027</w:t>
            </w:r>
          </w:p>
        </w:tc>
        <w:tc>
          <w:tcPr>
            <w:tcW w:w="8640" w:type="dxa"/>
          </w:tcPr>
          <w:p w14:paraId="046D2852"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NACIONALNA OZNAKA</w:t>
            </w:r>
          </w:p>
          <w:p w14:paraId="6AB087F6" w14:textId="77777777" w:rsidR="00173F08" w:rsidRPr="002A677E" w:rsidDel="00BF0637" w:rsidRDefault="00173F08" w:rsidP="00822842">
            <w:pPr>
              <w:rPr>
                <w:rStyle w:val="InstructionsTabelleberschrift"/>
                <w:rFonts w:ascii="Times New Roman" w:hAnsi="Times New Roman"/>
                <w:sz w:val="24"/>
              </w:rPr>
            </w:pPr>
            <w:r>
              <w:rPr>
                <w:rFonts w:ascii="Times New Roman" w:hAnsi="Times New Roman"/>
                <w:sz w:val="24"/>
              </w:rPr>
              <w:t>Institucije mogu dodatno iskazati nacionalnu oznaku ako u stupcu „Oznaka” kao identifikator iskazuju oznaku LEI.</w:t>
            </w:r>
          </w:p>
        </w:tc>
      </w:tr>
      <w:tr w:rsidR="00173F08" w:rsidRPr="002A677E" w14:paraId="6D220418" w14:textId="77777777" w:rsidTr="00822842">
        <w:tc>
          <w:tcPr>
            <w:tcW w:w="1188" w:type="dxa"/>
          </w:tcPr>
          <w:p w14:paraId="30734754"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0030</w:t>
            </w:r>
          </w:p>
        </w:tc>
        <w:tc>
          <w:tcPr>
            <w:tcW w:w="8640" w:type="dxa"/>
          </w:tcPr>
          <w:p w14:paraId="51843D3A"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INSTITUCIJA ILI EKVIVALENT (DA/NE)</w:t>
            </w:r>
          </w:p>
          <w:p w14:paraId="592DC07F"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„DA” se iskazuje ako se na subjekt primjenjuju kapitalni zahtjevi u skladu s Uredbom (EU) br. 575/2013 i Direktivom 2013/36/EU ili odredbama koje su barem istovjetne bazelskim odredbama.</w:t>
            </w:r>
          </w:p>
          <w:p w14:paraId="4B3EAD97"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U protivnom se iskazuje „NE”.</w:t>
            </w:r>
          </w:p>
          <w:p w14:paraId="3E965172" w14:textId="77777777" w:rsidR="00173F08" w:rsidRPr="002A677E" w:rsidRDefault="00173F08" w:rsidP="00822842">
            <w:pPr>
              <w:rPr>
                <w:rStyle w:val="InstructionsTabelleText"/>
                <w:rFonts w:ascii="Times New Roman" w:hAnsi="Times New Roman"/>
                <w:sz w:val="24"/>
              </w:rPr>
            </w:pPr>
          </w:p>
          <w:p w14:paraId="27BF6938" w14:textId="77777777" w:rsidR="00173F08" w:rsidRPr="002A677E" w:rsidRDefault="00173F08" w:rsidP="00822842">
            <w:pPr>
              <w:ind w:left="372" w:hanging="360"/>
              <w:contextualSpacing/>
              <w:rPr>
                <w:rStyle w:val="InstructionsTabelleText"/>
                <w:rFonts w:ascii="Times New Roman" w:hAnsi="Times New Roman"/>
                <w:sz w:val="24"/>
              </w:rPr>
            </w:pPr>
            <w:r>
              <w:rPr>
                <w:rStyle w:val="InstructionsTabelleText"/>
                <w:rFonts w:ascii="Wingdings" w:hAnsi="Wingdings"/>
                <w:sz w:val="24"/>
              </w:rPr>
              <w:t></w:t>
            </w:r>
            <w:r>
              <w:rPr>
                <w:rStyle w:val="InstructionsTabelleText"/>
                <w:rFonts w:ascii="Wingdings" w:hAnsi="Wingdings"/>
                <w:sz w:val="24"/>
              </w:rPr>
              <w:tab/>
            </w:r>
            <w:r>
              <w:rPr>
                <w:rStyle w:val="InstructionsTabelleText"/>
                <w:rFonts w:ascii="Times New Roman" w:hAnsi="Times New Roman"/>
                <w:sz w:val="24"/>
              </w:rPr>
              <w:t>Manjinski udjeli:</w:t>
            </w:r>
          </w:p>
          <w:p w14:paraId="753444E9"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lastRenderedPageBreak/>
              <w:t xml:space="preserve"> članak 81. stavak 1. točka (a) </w:t>
            </w:r>
            <w:proofErr w:type="spellStart"/>
            <w:r>
              <w:rPr>
                <w:rFonts w:ascii="Times New Roman" w:hAnsi="Times New Roman"/>
                <w:sz w:val="24"/>
              </w:rPr>
              <w:t>podtočka</w:t>
            </w:r>
            <w:proofErr w:type="spellEnd"/>
            <w:r>
              <w:rPr>
                <w:rFonts w:ascii="Times New Roman" w:hAnsi="Times New Roman"/>
                <w:sz w:val="24"/>
              </w:rPr>
              <w:t xml:space="preserve"> ii. i članak 82. stavak 1. točka (a) </w:t>
            </w:r>
            <w:proofErr w:type="spellStart"/>
            <w:r>
              <w:rPr>
                <w:rFonts w:ascii="Times New Roman" w:hAnsi="Times New Roman"/>
                <w:sz w:val="24"/>
              </w:rPr>
              <w:t>podtočka</w:t>
            </w:r>
            <w:proofErr w:type="spellEnd"/>
            <w:r>
              <w:rPr>
                <w:rFonts w:ascii="Times New Roman" w:hAnsi="Times New Roman"/>
                <w:sz w:val="24"/>
              </w:rPr>
              <w:t xml:space="preserve"> ii. Uredbe (EU) br. 575/2013</w:t>
            </w:r>
          </w:p>
          <w:p w14:paraId="714487FE"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U pogledu manjinskih udjela i instrumenata dodatnog osnovnog kapitala i dopunskog kapitala koja su izdala društva kćeri, društva kćeri čiji se instrumenti mogu priznati su institucije ili društva na koje se primjenjuju zahtjevi iz Uredbe (EU) br. 575/2013 na temelju primjenjivog nacionalnog prava.</w:t>
            </w:r>
          </w:p>
        </w:tc>
      </w:tr>
      <w:tr w:rsidR="00173F08" w:rsidRPr="002A677E" w14:paraId="7BBFE780" w14:textId="77777777" w:rsidTr="00822842">
        <w:tc>
          <w:tcPr>
            <w:tcW w:w="1188" w:type="dxa"/>
          </w:tcPr>
          <w:p w14:paraId="4D04116B"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0035</w:t>
            </w:r>
          </w:p>
        </w:tc>
        <w:tc>
          <w:tcPr>
            <w:tcW w:w="8640" w:type="dxa"/>
          </w:tcPr>
          <w:p w14:paraId="301D03B9"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VRSTA SUBJEKTA</w:t>
            </w:r>
          </w:p>
          <w:p w14:paraId="64249F7B" w14:textId="77777777" w:rsidR="00173F08" w:rsidRPr="002A677E" w:rsidRDefault="00173F08" w:rsidP="00822842">
            <w:pPr>
              <w:rPr>
                <w:rStyle w:val="InstructionsTabelleText"/>
                <w:rFonts w:ascii="Times New Roman" w:hAnsi="Times New Roman"/>
                <w:bCs/>
                <w:sz w:val="24"/>
              </w:rPr>
            </w:pPr>
            <w:r>
              <w:rPr>
                <w:rStyle w:val="InstructionsTabelleText"/>
                <w:rFonts w:ascii="Times New Roman" w:hAnsi="Times New Roman"/>
                <w:sz w:val="24"/>
              </w:rPr>
              <w:t>Vrsta subjekta iskazuje se na temelju sljedećih kategorija:</w:t>
            </w:r>
          </w:p>
          <w:p w14:paraId="6C071244" w14:textId="77777777" w:rsidR="00173F08" w:rsidRPr="002A677E" w:rsidRDefault="00173F08" w:rsidP="00822842">
            <w:pPr>
              <w:tabs>
                <w:tab w:val="left" w:pos="372"/>
              </w:tabs>
              <w:rPr>
                <w:rStyle w:val="InstructionsTabelleText"/>
                <w:rFonts w:ascii="Times New Roman" w:hAnsi="Times New Roman"/>
                <w:sz w:val="24"/>
              </w:rPr>
            </w:pPr>
            <w:r>
              <w:rPr>
                <w:rStyle w:val="InstructionsTabelleText"/>
                <w:rFonts w:ascii="Times New Roman" w:hAnsi="Times New Roman"/>
                <w:sz w:val="24"/>
              </w:rPr>
              <w:t>(a)</w:t>
            </w:r>
            <w:r>
              <w:rPr>
                <w:rStyle w:val="InstructionsTabelleText"/>
                <w:rFonts w:ascii="Times New Roman" w:hAnsi="Times New Roman"/>
                <w:sz w:val="24"/>
              </w:rPr>
              <w:tab/>
              <w:t>kreditna institucija</w:t>
            </w:r>
          </w:p>
          <w:p w14:paraId="665499B6" w14:textId="77777777" w:rsidR="00173F08" w:rsidRPr="002A677E" w:rsidRDefault="00173F08" w:rsidP="00822842">
            <w:pPr>
              <w:tabs>
                <w:tab w:val="left" w:pos="372"/>
              </w:tabs>
              <w:rPr>
                <w:rStyle w:val="InstructionsTabelleText"/>
                <w:rFonts w:ascii="Times New Roman" w:hAnsi="Times New Roman"/>
                <w:sz w:val="24"/>
              </w:rPr>
            </w:pPr>
            <w:r>
              <w:rPr>
                <w:rStyle w:val="InstructionsTabelleText"/>
                <w:rFonts w:ascii="Times New Roman" w:hAnsi="Times New Roman"/>
                <w:sz w:val="24"/>
              </w:rPr>
              <w:tab/>
            </w:r>
            <w:r>
              <w:rPr>
                <w:rFonts w:ascii="Times New Roman" w:hAnsi="Times New Roman"/>
                <w:sz w:val="24"/>
              </w:rPr>
              <w:t>članak 4. stavak 1. točka 1. Uredbe (EU) br. 575/2013;</w:t>
            </w:r>
          </w:p>
          <w:p w14:paraId="5699C13E"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(b)</w:t>
            </w:r>
            <w:r>
              <w:rPr>
                <w:rStyle w:val="InstructionsTabelleText"/>
                <w:rFonts w:ascii="Times New Roman" w:hAnsi="Times New Roman"/>
                <w:sz w:val="24"/>
              </w:rPr>
              <w:tab/>
              <w:t>investicijsko društvo</w:t>
            </w:r>
          </w:p>
          <w:p w14:paraId="63975777"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ab/>
            </w:r>
            <w:r>
              <w:rPr>
                <w:rFonts w:ascii="Times New Roman" w:hAnsi="Times New Roman"/>
                <w:sz w:val="24"/>
              </w:rPr>
              <w:t>članak 4. stavak 1. točka 2. Uredbe (EU) br. 575/2013;</w:t>
            </w:r>
          </w:p>
          <w:p w14:paraId="4003584E"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(c)</w:t>
            </w:r>
            <w:r>
              <w:rPr>
                <w:rStyle w:val="InstructionsTabelleText"/>
                <w:rFonts w:ascii="Times New Roman" w:hAnsi="Times New Roman"/>
                <w:sz w:val="24"/>
              </w:rPr>
              <w:tab/>
              <w:t xml:space="preserve">financijska institucija (ostalo) </w:t>
            </w:r>
          </w:p>
          <w:p w14:paraId="5B5F8DA3"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ab/>
            </w:r>
            <w:r>
              <w:rPr>
                <w:rFonts w:ascii="Times New Roman" w:hAnsi="Times New Roman"/>
                <w:sz w:val="24"/>
              </w:rPr>
              <w:t>članak 4. stavak 1. točke 20., 21. i 26. Uredbe (EU) br. 575/2013.</w:t>
            </w:r>
          </w:p>
          <w:p w14:paraId="7BC9963B" w14:textId="76B95B64" w:rsidR="00173F08" w:rsidRPr="002A677E" w:rsidRDefault="00173F08" w:rsidP="00822842">
            <w:pPr>
              <w:tabs>
                <w:tab w:val="left" w:pos="372"/>
              </w:tabs>
              <w:ind w:left="399" w:hanging="399"/>
              <w:rPr>
                <w:rStyle w:val="InstructionsTabelleText"/>
                <w:rFonts w:ascii="Times New Roman" w:hAnsi="Times New Roman"/>
                <w:bCs/>
                <w:sz w:val="24"/>
              </w:rPr>
            </w:pPr>
            <w:r>
              <w:rPr>
                <w:rStyle w:val="InstructionsTabelleText"/>
                <w:rFonts w:ascii="Times New Roman" w:hAnsi="Times New Roman"/>
                <w:sz w:val="24"/>
              </w:rPr>
              <w:tab/>
            </w:r>
            <w:r>
              <w:rPr>
                <w:rFonts w:ascii="Times New Roman" w:hAnsi="Times New Roman"/>
                <w:sz w:val="24"/>
              </w:rPr>
              <w:t>Financijske institucije u smislu članka 4. stavka 1. točke 26. Uredbe (EU) br. 575/2013 koje nisu uključene u kategorije iz točaka (d), (e) ili (g);</w:t>
            </w:r>
          </w:p>
          <w:p w14:paraId="7F954479"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(d)</w:t>
            </w:r>
            <w:r>
              <w:rPr>
                <w:rStyle w:val="InstructionsTabelleText"/>
                <w:rFonts w:ascii="Times New Roman" w:hAnsi="Times New Roman"/>
                <w:sz w:val="24"/>
              </w:rPr>
              <w:tab/>
              <w:t>mješoviti financijski holding</w:t>
            </w:r>
          </w:p>
          <w:p w14:paraId="1C70DDA8"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ab/>
            </w:r>
            <w:r>
              <w:rPr>
                <w:rFonts w:ascii="Times New Roman" w:hAnsi="Times New Roman"/>
                <w:sz w:val="24"/>
              </w:rPr>
              <w:t>članak 4. stavak 1. točke 20. i 21. Uredbe (EU) br. 575/2013;</w:t>
            </w:r>
          </w:p>
          <w:p w14:paraId="30F427B6"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(e)</w:t>
            </w:r>
            <w:r>
              <w:rPr>
                <w:rStyle w:val="InstructionsTabelleText"/>
                <w:rFonts w:ascii="Times New Roman" w:hAnsi="Times New Roman"/>
                <w:sz w:val="24"/>
              </w:rPr>
              <w:tab/>
              <w:t>društvo za pomoćne usluge</w:t>
            </w:r>
          </w:p>
          <w:p w14:paraId="21A43501"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ab/>
            </w:r>
            <w:r>
              <w:rPr>
                <w:rFonts w:ascii="Times New Roman" w:hAnsi="Times New Roman"/>
                <w:sz w:val="24"/>
              </w:rPr>
              <w:t>članak 4. stavak 1. točka 18. Uredbe (EU) br. 575/2013;</w:t>
            </w:r>
          </w:p>
          <w:p w14:paraId="33923092"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(f)</w:t>
            </w:r>
            <w:r>
              <w:rPr>
                <w:rStyle w:val="InstructionsTabelleText"/>
                <w:rFonts w:ascii="Times New Roman" w:hAnsi="Times New Roman"/>
                <w:sz w:val="24"/>
              </w:rPr>
              <w:tab/>
            </w:r>
            <w:proofErr w:type="spellStart"/>
            <w:r>
              <w:rPr>
                <w:rStyle w:val="InstructionsTabelleText"/>
                <w:rFonts w:ascii="Times New Roman" w:hAnsi="Times New Roman"/>
                <w:sz w:val="24"/>
              </w:rPr>
              <w:t>sekuritizacijski</w:t>
            </w:r>
            <w:proofErr w:type="spellEnd"/>
            <w:r>
              <w:rPr>
                <w:rStyle w:val="InstructionsTabelleText"/>
                <w:rFonts w:ascii="Times New Roman" w:hAnsi="Times New Roman"/>
                <w:sz w:val="24"/>
              </w:rPr>
              <w:t xml:space="preserve"> subjekt posebne namjene</w:t>
            </w:r>
          </w:p>
          <w:p w14:paraId="0A5E1647"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ab/>
            </w:r>
            <w:r>
              <w:rPr>
                <w:rFonts w:ascii="Times New Roman" w:hAnsi="Times New Roman"/>
                <w:sz w:val="24"/>
              </w:rPr>
              <w:t>članak 4. stavak 1. točka 66. Uredbe (EU) br. 575/2013;</w:t>
            </w:r>
          </w:p>
          <w:p w14:paraId="56894EF9"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(g)</w:t>
            </w:r>
            <w:r>
              <w:rPr>
                <w:rStyle w:val="InstructionsTabelleText"/>
                <w:rFonts w:ascii="Times New Roman" w:hAnsi="Times New Roman"/>
                <w:sz w:val="24"/>
              </w:rPr>
              <w:tab/>
              <w:t>društvo za izdavanje pokrivenih obveznica.</w:t>
            </w:r>
          </w:p>
          <w:p w14:paraId="6CA79499" w14:textId="77777777" w:rsidR="00173F08" w:rsidRPr="002A677E" w:rsidRDefault="00173F08" w:rsidP="00822842">
            <w:pPr>
              <w:tabs>
                <w:tab w:val="left" w:pos="372"/>
              </w:tabs>
              <w:ind w:left="372"/>
              <w:rPr>
                <w:rStyle w:val="InstructionsTabelleText"/>
                <w:rFonts w:ascii="Times New Roman" w:hAnsi="Times New Roman"/>
                <w:bCs/>
                <w:sz w:val="24"/>
              </w:rPr>
            </w:pPr>
            <w:r>
              <w:rPr>
                <w:rStyle w:val="InstructionsTabelleText"/>
                <w:rFonts w:ascii="Times New Roman" w:hAnsi="Times New Roman"/>
                <w:sz w:val="24"/>
              </w:rPr>
              <w:t>Subjekt osnovan za potrebe izdavanja pokrivenih obveznica ili držanje kolaterala kojim je osigurana pokrivena obveznica, ako nije uključen u prethodno navedene kategorije iz točaka (a), (b) ili od (d) do (f);</w:t>
            </w:r>
          </w:p>
          <w:p w14:paraId="73FCB23B" w14:textId="77777777" w:rsidR="00173F08" w:rsidRPr="002A677E" w:rsidRDefault="00173F08" w:rsidP="00822842">
            <w:pPr>
              <w:tabs>
                <w:tab w:val="left" w:pos="372"/>
              </w:tabs>
              <w:rPr>
                <w:rStyle w:val="InstructionsTabelleText"/>
                <w:rFonts w:ascii="Times New Roman" w:hAnsi="Times New Roman"/>
                <w:sz w:val="24"/>
              </w:rPr>
            </w:pPr>
            <w:r>
              <w:rPr>
                <w:rStyle w:val="InstructionsTabelleText"/>
                <w:rFonts w:ascii="Times New Roman" w:hAnsi="Times New Roman"/>
                <w:sz w:val="24"/>
              </w:rPr>
              <w:t>(h)</w:t>
            </w:r>
            <w:r>
              <w:rPr>
                <w:rStyle w:val="InstructionsTabelleText"/>
                <w:rFonts w:ascii="Times New Roman" w:hAnsi="Times New Roman"/>
                <w:sz w:val="24"/>
              </w:rPr>
              <w:tab/>
              <w:t>ostale vrste subjekata</w:t>
            </w:r>
          </w:p>
          <w:p w14:paraId="404E7CFE" w14:textId="77777777" w:rsidR="00173F08" w:rsidRPr="002A677E" w:rsidRDefault="00173F08" w:rsidP="00822842">
            <w:pPr>
              <w:tabs>
                <w:tab w:val="left" w:pos="372"/>
              </w:tabs>
              <w:ind w:left="372"/>
              <w:rPr>
                <w:rStyle w:val="InstructionsTabelleberschrift"/>
                <w:rFonts w:ascii="Times New Roman" w:hAnsi="Times New Roman"/>
                <w:b w:val="0"/>
                <w:sz w:val="24"/>
              </w:rPr>
            </w:pPr>
            <w:r>
              <w:rPr>
                <w:rStyle w:val="InstructionsTabelleberschrift"/>
                <w:rFonts w:ascii="Times New Roman" w:hAnsi="Times New Roman"/>
                <w:sz w:val="24"/>
              </w:rPr>
              <w:t>Subjekt osim onog iz točaka od (a) do (g).</w:t>
            </w:r>
          </w:p>
          <w:p w14:paraId="1E1DE3FB" w14:textId="77777777" w:rsidR="00173F08" w:rsidRPr="002A677E" w:rsidRDefault="00173F08" w:rsidP="00822842">
            <w:pPr>
              <w:tabs>
                <w:tab w:val="left" w:pos="372"/>
              </w:tabs>
              <w:rPr>
                <w:rStyle w:val="InstructionsTabelleberschrift"/>
                <w:rFonts w:ascii="Times New Roman" w:hAnsi="Times New Roman"/>
                <w:b w:val="0"/>
                <w:sz w:val="24"/>
              </w:rPr>
            </w:pPr>
            <w:r w:rsidRPr="007A58AC">
              <w:rPr>
                <w:rFonts w:ascii="Times New Roman" w:hAnsi="Times New Roman"/>
                <w:b/>
                <w:bCs/>
                <w:sz w:val="24"/>
                <w:u w:val="single"/>
              </w:rPr>
              <w:t>Ako se na subjekt ne primjenjuju</w:t>
            </w:r>
            <w:r>
              <w:rPr>
                <w:rFonts w:ascii="Times New Roman" w:hAnsi="Times New Roman"/>
                <w:sz w:val="24"/>
              </w:rPr>
              <w:t xml:space="preserve"> Uredba (EU) br. 575/2013 </w:t>
            </w:r>
            <w:r w:rsidRPr="007A58AC">
              <w:rPr>
                <w:rFonts w:ascii="Times New Roman" w:hAnsi="Times New Roman"/>
                <w:b/>
                <w:bCs/>
                <w:sz w:val="24"/>
                <w:u w:val="single"/>
              </w:rPr>
              <w:t>i</w:t>
            </w:r>
            <w:r>
              <w:rPr>
                <w:rFonts w:ascii="Times New Roman" w:hAnsi="Times New Roman"/>
                <w:sz w:val="24"/>
              </w:rPr>
              <w:t xml:space="preserve"> Direktiva 2013/36/EU, </w:t>
            </w:r>
            <w:r w:rsidRPr="007A58AC">
              <w:rPr>
                <w:rFonts w:ascii="Times New Roman" w:hAnsi="Times New Roman"/>
                <w:b/>
                <w:bCs/>
                <w:sz w:val="24"/>
                <w:u w:val="single"/>
              </w:rPr>
              <w:t>već odredbe koje su barem istovjetne bazelskim odredbama, relevantna kategorija određuje se u okviru mogućnosti.</w:t>
            </w:r>
          </w:p>
        </w:tc>
      </w:tr>
      <w:tr w:rsidR="00173F08" w:rsidRPr="002A677E" w14:paraId="177D0BA5" w14:textId="77777777" w:rsidTr="00822842">
        <w:tc>
          <w:tcPr>
            <w:tcW w:w="1188" w:type="dxa"/>
          </w:tcPr>
          <w:p w14:paraId="0C21191B"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0040</w:t>
            </w:r>
          </w:p>
        </w:tc>
        <w:tc>
          <w:tcPr>
            <w:tcW w:w="8640" w:type="dxa"/>
          </w:tcPr>
          <w:p w14:paraId="6CCCE12B" w14:textId="77777777" w:rsidR="00173F08" w:rsidRPr="002A677E" w:rsidRDefault="00173F08" w:rsidP="00822842">
            <w:pPr>
              <w:rPr>
                <w:rFonts w:ascii="Times New Roman" w:hAnsi="Times New Roman"/>
                <w:b/>
                <w:sz w:val="24"/>
                <w:u w:val="single"/>
              </w:rPr>
            </w:pPr>
            <w:r>
              <w:rPr>
                <w:rFonts w:ascii="Times New Roman" w:hAnsi="Times New Roman"/>
                <w:b/>
                <w:sz w:val="24"/>
                <w:u w:val="single"/>
              </w:rPr>
              <w:t xml:space="preserve">OPSEG PODATAKA: </w:t>
            </w:r>
            <w:r>
              <w:rPr>
                <w:rFonts w:ascii="Times New Roman" w:hAnsi="Times New Roman"/>
                <w:b/>
                <w:caps/>
                <w:sz w:val="24"/>
                <w:u w:val="single"/>
              </w:rPr>
              <w:t>pojedinačno potpuno konsolidirana (SF) ILI pojedinačno djelomično konsolidirana (SP)</w:t>
            </w:r>
          </w:p>
          <w:p w14:paraId="0AE72FF3" w14:textId="77777777" w:rsidR="00173F08" w:rsidRPr="002A677E" w:rsidRDefault="00173F08" w:rsidP="00822842">
            <w:pPr>
              <w:rPr>
                <w:rStyle w:val="Heading1Char"/>
                <w:rFonts w:ascii="Times New Roman" w:hAnsi="Times New Roman"/>
                <w:sz w:val="24"/>
              </w:rPr>
            </w:pPr>
            <w:r>
              <w:rPr>
                <w:rStyle w:val="InstructionsTabelleText"/>
                <w:rFonts w:ascii="Times New Roman" w:hAnsi="Times New Roman"/>
                <w:sz w:val="24"/>
              </w:rPr>
              <w:t>„SF” se iskazuje za pojedinačna društva kćeri koja su potpuno konsolidirana.</w:t>
            </w:r>
            <w:r>
              <w:rPr>
                <w:rStyle w:val="Heading1Char"/>
                <w:rFonts w:ascii="Times New Roman" w:hAnsi="Times New Roman"/>
                <w:sz w:val="24"/>
              </w:rPr>
              <w:t xml:space="preserve"> </w:t>
            </w:r>
          </w:p>
          <w:p w14:paraId="62274488" w14:textId="77777777" w:rsidR="00173F08" w:rsidRPr="002A677E" w:rsidRDefault="00173F08" w:rsidP="00822842">
            <w:pPr>
              <w:rPr>
                <w:rStyle w:val="InstructionsTabelleText"/>
                <w:rFonts w:ascii="Times New Roman" w:hAnsi="Times New Roman"/>
                <w:smallCaps/>
                <w:sz w:val="24"/>
              </w:rPr>
            </w:pPr>
            <w:r>
              <w:rPr>
                <w:rStyle w:val="InstructionsTabelleText"/>
                <w:rFonts w:ascii="Times New Roman" w:hAnsi="Times New Roman"/>
                <w:sz w:val="24"/>
              </w:rPr>
              <w:t>„SP” se iskazuje za pojedinačna društva kćeri koja su djelomično konsolidirana.</w:t>
            </w:r>
            <w:r>
              <w:rPr>
                <w:rStyle w:val="InstructionsTabelleText"/>
                <w:rFonts w:ascii="Times New Roman" w:hAnsi="Times New Roman"/>
                <w:i/>
                <w:sz w:val="24"/>
              </w:rPr>
              <w:t xml:space="preserve"> </w:t>
            </w:r>
          </w:p>
        </w:tc>
      </w:tr>
      <w:tr w:rsidR="00173F08" w:rsidRPr="002A677E" w14:paraId="5114D2FB" w14:textId="77777777" w:rsidTr="00822842">
        <w:tc>
          <w:tcPr>
            <w:tcW w:w="1188" w:type="dxa"/>
          </w:tcPr>
          <w:p w14:paraId="3334848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0050</w:t>
            </w:r>
          </w:p>
        </w:tc>
        <w:tc>
          <w:tcPr>
            <w:tcW w:w="8640" w:type="dxa"/>
          </w:tcPr>
          <w:p w14:paraId="00CDACE7" w14:textId="77777777" w:rsidR="00173F08" w:rsidRPr="002A677E" w:rsidRDefault="00173F08" w:rsidP="00822842">
            <w:pPr>
              <w:rPr>
                <w:rFonts w:ascii="Times New Roman" w:hAnsi="Times New Roman"/>
                <w:b/>
                <w:sz w:val="24"/>
                <w:u w:val="single"/>
              </w:rPr>
            </w:pPr>
            <w:r>
              <w:rPr>
                <w:rFonts w:ascii="Times New Roman" w:hAnsi="Times New Roman"/>
                <w:b/>
                <w:sz w:val="24"/>
                <w:u w:val="single"/>
              </w:rPr>
              <w:t xml:space="preserve">OZNAKA ZEMLJE </w:t>
            </w:r>
          </w:p>
          <w:p w14:paraId="6D6EDCAD" w14:textId="3FF412B9"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Institucije iskazuju dvoslovnu oznaku zemlje navedenu u normi ISO 3166-1 alpha-2. </w:t>
            </w:r>
          </w:p>
        </w:tc>
      </w:tr>
      <w:tr w:rsidR="00173F08" w:rsidRPr="002A677E" w14:paraId="78D1D7A5" w14:textId="77777777" w:rsidTr="00822842">
        <w:tc>
          <w:tcPr>
            <w:tcW w:w="1188" w:type="dxa"/>
          </w:tcPr>
          <w:p w14:paraId="26EECF69"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0060</w:t>
            </w:r>
          </w:p>
        </w:tc>
        <w:tc>
          <w:tcPr>
            <w:tcW w:w="8640" w:type="dxa"/>
          </w:tcPr>
          <w:p w14:paraId="3297BC06"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UDJEL ULAGANJA (%)</w:t>
            </w:r>
          </w:p>
          <w:p w14:paraId="0214F399"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Ovaj se postotak odnosi na stvarni udio u kapitalu koji matično društvo ima u društvima kćerima. U slučaju potpune konsolidacije izravnog društva kćeri stvarni je udio npr. 70 %. </w:t>
            </w:r>
            <w:r>
              <w:rPr>
                <w:rFonts w:ascii="Times New Roman" w:hAnsi="Times New Roman"/>
                <w:sz w:val="24"/>
              </w:rPr>
              <w:t>U skladu s člankom 4. stavkom 1. točkom 16. Uredbe (EU) br. 575/2013, iskazuje se udio u društvu kćeri koji se dobije množenjem udjela među dotičnim društvima kćerima.</w:t>
            </w:r>
          </w:p>
        </w:tc>
      </w:tr>
      <w:tr w:rsidR="00173F08" w:rsidRPr="002A677E" w14:paraId="55A34781" w14:textId="77777777" w:rsidTr="00822842">
        <w:tc>
          <w:tcPr>
            <w:tcW w:w="1188" w:type="dxa"/>
          </w:tcPr>
          <w:p w14:paraId="254AD573"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0065</w:t>
            </w:r>
          </w:p>
        </w:tc>
        <w:tc>
          <w:tcPr>
            <w:tcW w:w="8640" w:type="dxa"/>
          </w:tcPr>
          <w:p w14:paraId="42EB5499" w14:textId="77777777" w:rsidR="00173F08" w:rsidRPr="002A677E" w:rsidRDefault="00173F08" w:rsidP="00822842">
            <w:pPr>
              <w:rPr>
                <w:rFonts w:ascii="Times New Roman" w:hAnsi="Times New Roman"/>
                <w:b/>
                <w:sz w:val="24"/>
                <w:u w:val="single"/>
              </w:rPr>
            </w:pPr>
            <w:r>
              <w:rPr>
                <w:rFonts w:ascii="Times New Roman" w:hAnsi="Times New Roman"/>
                <w:b/>
                <w:sz w:val="24"/>
                <w:u w:val="single"/>
              </w:rPr>
              <w:t>GRUPA ZA PRIJEBOJ</w:t>
            </w:r>
          </w:p>
          <w:p w14:paraId="591957C8" w14:textId="77777777" w:rsidR="00173F08" w:rsidRDefault="00173F08" w:rsidP="00822842">
            <w:pPr>
              <w:rPr>
                <w:rStyle w:val="InstructionsTabelleText"/>
                <w:rFonts w:ascii="Times New Roman" w:hAnsi="Times New Roman"/>
                <w:sz w:val="24"/>
              </w:rPr>
            </w:pPr>
            <w:r>
              <w:rPr>
                <w:rStyle w:val="InstructionsTabelleText"/>
                <w:rFonts w:ascii="Times New Roman" w:hAnsi="Times New Roman"/>
                <w:sz w:val="24"/>
              </w:rPr>
              <w:t>„Grupa za prijeboj” znači bilo što od sljedećeg:</w:t>
            </w:r>
          </w:p>
          <w:p w14:paraId="3C498A91" w14:textId="77777777" w:rsidR="00173F08" w:rsidRPr="000F4F88" w:rsidRDefault="00173F08" w:rsidP="00173F08">
            <w:pPr>
              <w:pStyle w:val="ListParagraph"/>
              <w:numPr>
                <w:ilvl w:val="0"/>
                <w:numId w:val="3"/>
              </w:numPr>
              <w:rPr>
                <w:rStyle w:val="InstructionsTabelleText"/>
                <w:rFonts w:ascii="Times New Roman" w:hAnsi="Times New Roman"/>
                <w:sz w:val="24"/>
              </w:rPr>
            </w:pPr>
            <w:r>
              <w:rPr>
                <w:rStyle w:val="InstructionsTabelleText"/>
                <w:rFonts w:ascii="Times New Roman" w:hAnsi="Times New Roman"/>
                <w:sz w:val="24"/>
              </w:rPr>
              <w:t>grupa subjekata kojima je nadležno tijelo odobrilo da pozicije u jednoj instituciji ili društvu te grupe iskoristi za prijeboj pozicija u drugoj instituciji ili društvu iste grupe u skladu s člankom 325.b Uredbe (EU) br. 575/2013;</w:t>
            </w:r>
          </w:p>
          <w:p w14:paraId="6C55C0A1" w14:textId="77777777" w:rsidR="00173F08" w:rsidRPr="000059B8" w:rsidRDefault="00173F08" w:rsidP="00173F08">
            <w:pPr>
              <w:pStyle w:val="ListParagraph"/>
              <w:numPr>
                <w:ilvl w:val="0"/>
                <w:numId w:val="3"/>
              </w:numPr>
              <w:rPr>
                <w:rStyle w:val="InstructionsTabelleText"/>
                <w:rFonts w:ascii="Times New Roman" w:hAnsi="Times New Roman"/>
                <w:b/>
                <w:bCs/>
                <w:sz w:val="24"/>
                <w:u w:val="single"/>
              </w:rPr>
            </w:pPr>
            <w:r>
              <w:rPr>
                <w:rStyle w:val="InstructionsTabelleText"/>
                <w:rFonts w:ascii="Times New Roman" w:hAnsi="Times New Roman"/>
                <w:sz w:val="24"/>
              </w:rPr>
              <w:t>svaki pojedinačni subjekt čije se pozicije ne mogu prebiti s pozicijama bilo kojeg drugog subjekta iz iste grupe koja podliježe nadzoru na konsolidiranoj osnovi u skladu s Direktivom 2013/36/EU jer nadležno tijelo nije dalo odobrenje u skladu s člankom 325.b te uredbe.</w:t>
            </w:r>
          </w:p>
          <w:p w14:paraId="30CBC62B" w14:textId="77777777" w:rsidR="00173F08" w:rsidRPr="000059B8" w:rsidRDefault="00173F08" w:rsidP="00822842">
            <w:pPr>
              <w:rPr>
                <w:rStyle w:val="InstructionsTabelleText"/>
                <w:rFonts w:ascii="Times New Roman" w:hAnsi="Times New Roman"/>
                <w:sz w:val="24"/>
              </w:rPr>
            </w:pPr>
            <w:r>
              <w:rPr>
                <w:rStyle w:val="InstructionsTabelleText"/>
                <w:rFonts w:ascii="Times New Roman" w:hAnsi="Times New Roman"/>
                <w:sz w:val="24"/>
              </w:rPr>
              <w:t>Institucije navode grupu za prijeboj kojoj pripada svaki subjekt naveden u obrascu ako ispunjavaju sljedeća dva uvjeta:</w:t>
            </w:r>
          </w:p>
          <w:p w14:paraId="147E25D5" w14:textId="77777777" w:rsidR="00173F08" w:rsidRPr="000059B8" w:rsidRDefault="00173F08" w:rsidP="00822842">
            <w:pPr>
              <w:rPr>
                <w:rStyle w:val="InstructionsTabelleText"/>
                <w:rFonts w:ascii="Times New Roman" w:hAnsi="Times New Roman"/>
                <w:sz w:val="24"/>
              </w:rPr>
            </w:pPr>
            <w:r>
              <w:rPr>
                <w:rStyle w:val="InstructionsTabelleText"/>
                <w:rFonts w:ascii="Times New Roman" w:hAnsi="Times New Roman"/>
                <w:sz w:val="24"/>
              </w:rPr>
              <w:t>(a) izračunavaju kapitalne zahtjeve za svoje poslove izložene tržišnom riziku u skladu s dijelom trećim glavom IV. poglavljem 1.a ili poglavljem 1.b Uredbe (EU) br. 575/2013 ili imaju obvezu izvješćivanja o tim kapitalnim zahtjevima u skladu s člankom 430. stavkom 2.a ili 2.b te uredbe;</w:t>
            </w:r>
          </w:p>
          <w:p w14:paraId="467E176C" w14:textId="77777777" w:rsidR="00173F08" w:rsidRDefault="00173F08" w:rsidP="00822842">
            <w:pPr>
              <w:rPr>
                <w:rStyle w:val="InstructionsTabelleText"/>
                <w:rFonts w:ascii="Times New Roman" w:hAnsi="Times New Roman"/>
                <w:sz w:val="24"/>
              </w:rPr>
            </w:pPr>
            <w:r>
              <w:rPr>
                <w:rStyle w:val="InstructionsTabelleText"/>
                <w:rFonts w:ascii="Times New Roman" w:hAnsi="Times New Roman"/>
                <w:sz w:val="24"/>
              </w:rPr>
              <w:t>(b) grupa koja podliježe nadzoru na konsolidiranoj osnovi u skladu s Direktivom 2013/36/EU uključuje najmanje dvije grupe za prijeboj.</w:t>
            </w:r>
          </w:p>
          <w:p w14:paraId="6E55692B" w14:textId="77777777" w:rsidR="00173F08"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U ovom se stupcu navodi „Grupa za prijeboj 1”, „Grupa za prijeboj 2” itd. Mapiranje između pravnih subjekata i grupa za prijeboj mora se iz razdoblja u razdoblje dosljedno primjenjivati, u skladu s izvještajima iste grupe koja podliježe nadzoru na konsolidiranoj osnovi  i identifikacijom grupa za prijeboj u obrascima iz </w:t>
            </w:r>
            <w:r>
              <w:rPr>
                <w:rStyle w:val="InstructionsTabelleText"/>
                <w:rFonts w:ascii="Times New Roman" w:hAnsi="Times New Roman"/>
                <w:sz w:val="24"/>
                <w:highlight w:val="yellow"/>
              </w:rPr>
              <w:t>[Priloga I. Uredbi (EU) 2021/453]</w:t>
            </w:r>
            <w:r>
              <w:rPr>
                <w:rStyle w:val="InstructionsTabelleText"/>
                <w:rFonts w:ascii="Times New Roman" w:hAnsi="Times New Roman"/>
                <w:sz w:val="24"/>
              </w:rPr>
              <w:t>.</w:t>
            </w:r>
          </w:p>
          <w:p w14:paraId="5DB075C7"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Ako institucija ispunjava uvjet pod (a), ali grupa koja podliježe nadzoru na konsolidiranoj osnovi u skladu s Direktivom 2013/36/EU uključuje samo jednu grupu za prijeboj, institucije u retku koji odgovara matičnom društvu grupe navedenom u ovom obrascu navode „jedna grupa za prijeboj”.</w:t>
            </w:r>
          </w:p>
        </w:tc>
      </w:tr>
      <w:tr w:rsidR="00173F08" w:rsidRPr="002A677E" w14:paraId="79BDBC0E" w14:textId="77777777" w:rsidTr="00822842">
        <w:tc>
          <w:tcPr>
            <w:tcW w:w="1188" w:type="dxa"/>
          </w:tcPr>
          <w:p w14:paraId="73FB157F"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0070-0240</w:t>
            </w:r>
          </w:p>
        </w:tc>
        <w:tc>
          <w:tcPr>
            <w:tcW w:w="8640" w:type="dxa"/>
          </w:tcPr>
          <w:p w14:paraId="0274B016"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INFORMACIJE O SUBJEKTIMA NA KOJE SE PRIMJENJUJE KAPITALNI ZAHTJEV</w:t>
            </w:r>
          </w:p>
          <w:p w14:paraId="5193F4B6"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U odjeljku o detaljnim informacijama (tj. stupci od 0070 do 0240) prikupljaju se informacije samo o subjektima i podgrupama na koje se, s obzirom da su u opsegu konsolidacije (dio prvi glava II. poglavlje 2. Uredbe (EU) br. 575/2013), efektivno primjenjuju zahtjevi o solventnosti utvrđeni u Uredbi (EU) br. 575/2013 ili odredbama koje su barem istovjetne bazelskim odredbama (tj., iskazano „DA” u stupcu 0030).</w:t>
            </w:r>
            <w:r>
              <w:rPr>
                <w:rStyle w:val="InstructionsTabelleText"/>
                <w:rFonts w:ascii="Times New Roman" w:hAnsi="Times New Roman"/>
                <w:sz w:val="24"/>
              </w:rPr>
              <w:t xml:space="preserve"> </w:t>
            </w:r>
          </w:p>
          <w:p w14:paraId="341FD737" w14:textId="77777777" w:rsidR="00173F08" w:rsidRPr="002A677E" w:rsidRDefault="00173F08" w:rsidP="00822842">
            <w:pPr>
              <w:rPr>
                <w:rFonts w:ascii="Times New Roman" w:hAnsi="Times New Roman"/>
                <w:sz w:val="24"/>
              </w:rPr>
            </w:pPr>
            <w:r>
              <w:rPr>
                <w:rFonts w:ascii="Times New Roman" w:hAnsi="Times New Roman"/>
                <w:sz w:val="24"/>
              </w:rPr>
              <w:t xml:space="preserve">Uključuju se informacije o svim pojedinačnim institucijama konsolidirane grupe na koje se primjenjuju kapitalni zahtjevi, bez obzira na to gdje se nalaze. </w:t>
            </w:r>
          </w:p>
          <w:p w14:paraId="44903571" w14:textId="77777777" w:rsidR="00173F08" w:rsidRPr="002A677E" w:rsidRDefault="00173F08" w:rsidP="00822842">
            <w:pPr>
              <w:rPr>
                <w:rFonts w:ascii="Times New Roman" w:hAnsi="Times New Roman"/>
                <w:sz w:val="24"/>
              </w:rPr>
            </w:pPr>
            <w:r>
              <w:rPr>
                <w:rFonts w:ascii="Times New Roman" w:hAnsi="Times New Roman"/>
                <w:sz w:val="24"/>
              </w:rPr>
              <w:t xml:space="preserve">Informacije iskazane u ovom dijelu odražavaju lokalna pravila o solventnosti jurisdikcije u kojoj institucija posluje (stoga za taj obrazac nije potreban dvostruki izračun na pojedinačnoj osnovi na temelju pravila matične institucije). Ako se lokalna pravila o </w:t>
            </w:r>
            <w:r>
              <w:rPr>
                <w:rFonts w:ascii="Times New Roman" w:hAnsi="Times New Roman"/>
                <w:sz w:val="24"/>
              </w:rPr>
              <w:lastRenderedPageBreak/>
              <w:t>solventnosti razlikuju od Uredbe (EU) br. 575/2013 i nema usporedive raščlambe, informacije se ispunjavaju kad su dostupni dovoljno detaljni podaci. Stoga se u ovom dijelu obrasca navodi sažetak izračuna koje pojedinačna institucija grupe provodi, imajući u vidu da se na neke od tih institucija mogu primjenjivati različita pravila o solventnosti.</w:t>
            </w:r>
          </w:p>
          <w:p w14:paraId="6B5F0F6F" w14:textId="77777777" w:rsidR="00173F08" w:rsidRPr="002A677E" w:rsidRDefault="00173F08" w:rsidP="00822842">
            <w:pPr>
              <w:rPr>
                <w:rStyle w:val="InstructionsTabelleText"/>
                <w:rFonts w:ascii="Times New Roman" w:hAnsi="Times New Roman"/>
                <w:b/>
                <w:sz w:val="24"/>
                <w:u w:val="single"/>
              </w:rPr>
            </w:pPr>
            <w:r>
              <w:rPr>
                <w:rStyle w:val="InstructionsTabelleText"/>
                <w:rFonts w:ascii="Times New Roman" w:hAnsi="Times New Roman"/>
                <w:b/>
                <w:sz w:val="24"/>
                <w:u w:val="single"/>
              </w:rPr>
              <w:t>Iskazivanje fiksnih općih troškova investicijskih društava:</w:t>
            </w:r>
          </w:p>
          <w:p w14:paraId="38DFF7EE" w14:textId="77777777" w:rsidR="00173F08" w:rsidRPr="002A677E" w:rsidRDefault="00173F08" w:rsidP="00822842">
            <w:pPr>
              <w:autoSpaceDE w:val="0"/>
              <w:autoSpaceDN w:val="0"/>
              <w:adjustRightInd w:val="0"/>
              <w:spacing w:after="0"/>
              <w:rPr>
                <w:rStyle w:val="InstructionsTabelleText"/>
                <w:rFonts w:ascii="Times New Roman" w:hAnsi="Times New Roman"/>
                <w:sz w:val="24"/>
              </w:rPr>
            </w:pPr>
            <w:r>
              <w:rPr>
                <w:rFonts w:ascii="Times New Roman" w:hAnsi="Times New Roman"/>
                <w:sz w:val="24"/>
              </w:rPr>
              <w:t>Investicijska društva u svoj izračun stope kapitala na temelju članaka 95., 96., 97. i 98. Uredbe (EU) br. 575/2013 uključuju kapitalne zahtjeve koji se odnose na fiksne opće troškove.</w:t>
            </w:r>
          </w:p>
          <w:p w14:paraId="033740CD" w14:textId="77777777" w:rsidR="00173F08" w:rsidRPr="002A677E" w:rsidRDefault="00173F08" w:rsidP="00822842">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 xml:space="preserve">Dio iznosa ukupne izloženosti riziku koji je povezan s fiksnim općim troškovima iskazuje se u stupcu 0100 ovog obrasca. </w:t>
            </w:r>
          </w:p>
        </w:tc>
      </w:tr>
      <w:tr w:rsidR="00173F08" w:rsidRPr="002A677E" w14:paraId="63C531B9" w14:textId="77777777" w:rsidTr="00822842">
        <w:tc>
          <w:tcPr>
            <w:tcW w:w="1188" w:type="dxa"/>
          </w:tcPr>
          <w:p w14:paraId="7EE45F25"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0070</w:t>
            </w:r>
          </w:p>
        </w:tc>
        <w:tc>
          <w:tcPr>
            <w:tcW w:w="8640" w:type="dxa"/>
          </w:tcPr>
          <w:p w14:paraId="1A22FB2A"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 xml:space="preserve">IZNOS UKUPNE IZLOŽENOSTI RIZIKU </w:t>
            </w:r>
          </w:p>
          <w:p w14:paraId="4B0A4350"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Iskazuje se zbroj stupaca od 0080 do 0110.</w:t>
            </w:r>
          </w:p>
        </w:tc>
      </w:tr>
      <w:tr w:rsidR="00173F08" w:rsidRPr="002A677E" w14:paraId="1431A12F" w14:textId="77777777" w:rsidTr="00822842">
        <w:tc>
          <w:tcPr>
            <w:tcW w:w="1188" w:type="dxa"/>
          </w:tcPr>
          <w:p w14:paraId="1F1161FF"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0075</w:t>
            </w:r>
          </w:p>
        </w:tc>
        <w:tc>
          <w:tcPr>
            <w:tcW w:w="8640" w:type="dxa"/>
          </w:tcPr>
          <w:p w14:paraId="78E93AAA" w14:textId="77777777" w:rsidR="00173F08"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OD ČEGA: PRILAGODBA DONJE GRANICE (MINIMALNA DONJA GRANICA TREA)</w:t>
            </w:r>
          </w:p>
          <w:p w14:paraId="267C9374" w14:textId="77777777" w:rsidR="00173F08" w:rsidRPr="00601EA3" w:rsidRDefault="00173F08" w:rsidP="00822842">
            <w:pPr>
              <w:rPr>
                <w:rStyle w:val="InstructionsTabelleberschrift"/>
                <w:rFonts w:ascii="Times New Roman" w:hAnsi="Times New Roman"/>
                <w:b w:val="0"/>
                <w:bCs w:val="0"/>
                <w:sz w:val="24"/>
              </w:rPr>
            </w:pPr>
            <w:r>
              <w:rPr>
                <w:rStyle w:val="InstructionsTabelleberschrift"/>
                <w:rFonts w:ascii="Times New Roman" w:hAnsi="Times New Roman"/>
                <w:b w:val="0"/>
                <w:sz w:val="24"/>
              </w:rPr>
              <w:t>Subjekti iskazuju prilagodbu donje granice izračunanu na pojedinačnoj osnovi.</w:t>
            </w:r>
          </w:p>
        </w:tc>
      </w:tr>
      <w:tr w:rsidR="00173F08" w:rsidRPr="002A677E" w14:paraId="5B3929C2" w14:textId="77777777" w:rsidTr="00822842">
        <w:tc>
          <w:tcPr>
            <w:tcW w:w="1188" w:type="dxa"/>
          </w:tcPr>
          <w:p w14:paraId="4F014BF5"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0080</w:t>
            </w:r>
          </w:p>
        </w:tc>
        <w:tc>
          <w:tcPr>
            <w:tcW w:w="8640" w:type="dxa"/>
          </w:tcPr>
          <w:p w14:paraId="7FCBE592"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KREDITNI RIZIK; KREDITNI RIZIK DRUGE UGOVORNE STRANE; RAZRJEĐIVAČKI RIZIK, SLOBODNE ISPORUKE I RIZIK NAMIRE/ISPORUKE</w:t>
            </w:r>
          </w:p>
          <w:p w14:paraId="4C32FDA3"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Iznos koji se iskazuje u ovom stupcu odgovara zbroju iznosa izloženosti ponderiranih rizikom koji su jednaki ili istovjetni iznosima koji se moraju iskazati u retku 0040 „</w:t>
            </w:r>
            <w:r>
              <w:rPr>
                <w:rStyle w:val="InstructionsTabelleberschrift"/>
                <w:rFonts w:ascii="Times New Roman" w:hAnsi="Times New Roman"/>
                <w:sz w:val="24"/>
              </w:rPr>
              <w:t>IZNOSI IZLOŽENOSTI PONDERIRANI RIZIKOM</w:t>
            </w:r>
            <w:r>
              <w:rPr>
                <w:rStyle w:val="InstructionsTabelleText"/>
                <w:rFonts w:ascii="Times New Roman" w:hAnsi="Times New Roman"/>
                <w:sz w:val="24"/>
              </w:rPr>
              <w:t xml:space="preserve">  ZA KREDITNI RIZIK, KREDITNI RIZIK DRUGE UGOVORNE STRANE, RAZJEĐIVAČKI RIZIK I SLOBODNE ISPORUKE” i iznosa kapitalnih zahtjeva koji su jednaki ili istovjetni iznosima koji se moraju iskazati u retku 0490 „IZNOS UKUPNE IZLOŽENOSTI RIZIKU ZA NAMIRU/ISPORUKU” obrasca CA2.</w:t>
            </w:r>
          </w:p>
        </w:tc>
      </w:tr>
      <w:tr w:rsidR="00173F08" w:rsidRPr="002A677E" w14:paraId="48538122" w14:textId="77777777" w:rsidTr="00822842">
        <w:tc>
          <w:tcPr>
            <w:tcW w:w="1188" w:type="dxa"/>
          </w:tcPr>
          <w:p w14:paraId="3B03E59F"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0090</w:t>
            </w:r>
          </w:p>
        </w:tc>
        <w:tc>
          <w:tcPr>
            <w:tcW w:w="8640" w:type="dxa"/>
          </w:tcPr>
          <w:p w14:paraId="1F8CDF0D" w14:textId="117F25BE"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TRŽIŠNI RIZICI</w:t>
            </w:r>
          </w:p>
          <w:p w14:paraId="7A55CAD7" w14:textId="55D7980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Iznos koji se iskazuje u ovom stupcu odgovara iznosu kapitalnih zahtjeva koji su jednaki ili istovjetni iznosima koji se moraju iskazati u retku 0520 „IZNOS UKUPNE IZLOŽENOSTI RIZIKU ZA POSLOVE IZLOŽENE TRŽIŠNOM RIZIKU” obrasca CA2.</w:t>
            </w:r>
          </w:p>
        </w:tc>
      </w:tr>
      <w:tr w:rsidR="00173F08" w:rsidRPr="002A677E" w14:paraId="292EDAF3" w14:textId="77777777" w:rsidTr="00822842">
        <w:tc>
          <w:tcPr>
            <w:tcW w:w="1188" w:type="dxa"/>
          </w:tcPr>
          <w:p w14:paraId="468DC5E6"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0100</w:t>
            </w:r>
          </w:p>
        </w:tc>
        <w:tc>
          <w:tcPr>
            <w:tcW w:w="8640" w:type="dxa"/>
          </w:tcPr>
          <w:p w14:paraId="47EDEC82"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OPERATIVNI RIZIK</w:t>
            </w:r>
          </w:p>
          <w:p w14:paraId="0D971CE8"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Iznos koji se iskazuje u ovom stupcu odgovara iznosu izloženosti riziku koji je jednak ili istovjetan iznosu koji se mora iskazati u retku 0590 „IZNOS UKUPNE IZLOŽENOSTI RIZIKU ZA OPERATIVNI RIZIK” obrasca CA2.</w:t>
            </w:r>
          </w:p>
          <w:p w14:paraId="793CB669"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Fiksni opći troškovi uključuju se u ovaj stupac uključujući redak 0630 „DODATNI IZNOS IZLOŽENOSTI RIZIKU ZBOG FIKSNIH OPĆIH TROŠKOVA” obrasca CA2.</w:t>
            </w:r>
          </w:p>
        </w:tc>
      </w:tr>
      <w:tr w:rsidR="00173F08" w:rsidRPr="002A677E" w14:paraId="21616B84" w14:textId="77777777" w:rsidTr="00822842">
        <w:tc>
          <w:tcPr>
            <w:tcW w:w="1188" w:type="dxa"/>
          </w:tcPr>
          <w:p w14:paraId="0592590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0110</w:t>
            </w:r>
          </w:p>
        </w:tc>
        <w:tc>
          <w:tcPr>
            <w:tcW w:w="8640" w:type="dxa"/>
          </w:tcPr>
          <w:p w14:paraId="5A6EE0BF"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OSTALI IZNOSI IZLOŽENOSTI RIZIKU</w:t>
            </w:r>
          </w:p>
          <w:p w14:paraId="6AB0F2D9"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Iznos koji se iskazuje u ovom stupcu odgovara iznosu izloženosti riziku koji nije prethodno posebno naveden. To je zbroj iznosa iz redaka 0640, 0680 i 0690 obrasca CA2.</w:t>
            </w:r>
          </w:p>
        </w:tc>
      </w:tr>
      <w:tr w:rsidR="00173F08" w:rsidRPr="002A677E" w14:paraId="1AA509B5" w14:textId="77777777" w:rsidTr="00822842">
        <w:tc>
          <w:tcPr>
            <w:tcW w:w="1188" w:type="dxa"/>
          </w:tcPr>
          <w:p w14:paraId="31666405"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0120-0240</w:t>
            </w:r>
          </w:p>
        </w:tc>
        <w:tc>
          <w:tcPr>
            <w:tcW w:w="8640" w:type="dxa"/>
          </w:tcPr>
          <w:p w14:paraId="4017EF14"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DETALJNE INFORMACIJE O REGULATORNOM KAPITALU KAO DIJELU SOLVENTNOSTI GRUPE</w:t>
            </w:r>
          </w:p>
          <w:p w14:paraId="713BB53E"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Informacije iskazane u sljedećim stupcima odražavaju lokalna pravila o solventnosti u državi članici u kojoj subjekt ili podgrupa posluje.</w:t>
            </w:r>
          </w:p>
        </w:tc>
      </w:tr>
      <w:tr w:rsidR="00173F08" w:rsidRPr="002A677E" w14:paraId="5A140096" w14:textId="77777777" w:rsidTr="00822842">
        <w:tc>
          <w:tcPr>
            <w:tcW w:w="1188" w:type="dxa"/>
          </w:tcPr>
          <w:p w14:paraId="487213B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0120</w:t>
            </w:r>
          </w:p>
        </w:tc>
        <w:tc>
          <w:tcPr>
            <w:tcW w:w="8640" w:type="dxa"/>
          </w:tcPr>
          <w:p w14:paraId="5B6BE8DD"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REGULATORNI KAPITAL</w:t>
            </w:r>
          </w:p>
          <w:p w14:paraId="55D150C2"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Iznos koji se iskazuje u ovom stupcu odgovara iznosu regulatornog kapitala koji je jednak ili istovjetan iznosima koji se moraju iskazati u retku 0010 „REGULATORNI KAPITAL” obrasca CA1.</w:t>
            </w:r>
          </w:p>
        </w:tc>
      </w:tr>
      <w:tr w:rsidR="00173F08" w:rsidRPr="002A677E" w14:paraId="40713F8A" w14:textId="77777777" w:rsidTr="00822842">
        <w:tc>
          <w:tcPr>
            <w:tcW w:w="1188" w:type="dxa"/>
          </w:tcPr>
          <w:p w14:paraId="4C6759BA"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0130</w:t>
            </w:r>
          </w:p>
        </w:tc>
        <w:tc>
          <w:tcPr>
            <w:tcW w:w="8640" w:type="dxa"/>
          </w:tcPr>
          <w:p w14:paraId="33EA093E"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 xml:space="preserve">OD ČEGA: KVALIFICIRANI REGULATORNI KAPITAL </w:t>
            </w:r>
          </w:p>
          <w:p w14:paraId="34714CBE"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Članak 82.</w:t>
            </w:r>
            <w:r>
              <w:rPr>
                <w:rFonts w:ascii="Times New Roman" w:hAnsi="Times New Roman"/>
                <w:sz w:val="24"/>
              </w:rPr>
              <w:t xml:space="preserve"> Uredbe (EU) br. 575/2013 </w:t>
            </w:r>
          </w:p>
          <w:p w14:paraId="7999D7DB"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Ovaj je stupac predviđen samo za društva kćeri koja se iskazuju na pojedinačnoj osnovi, koja su potpuno konsolidirana i koja su institucije. </w:t>
            </w:r>
          </w:p>
          <w:p w14:paraId="1DFAEDAA"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Kvalificirani su udjeli, za prethodno navedena društva kćeri, instrumenti (uvećani za povezanu zadržanu dobit, račune premija na dionice i ostale rezerve) u vlasništvu osoba koje nisu društva i uključeni su u konsolidaciju u skladu s Uredbom (EU) br. 575/2013.</w:t>
            </w:r>
          </w:p>
          <w:p w14:paraId="3E7C4509"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Iznos koji se iskazuje uključuje učinke svih prijelaznih odredaba. To je priznati iznos na izvještajni datum.</w:t>
            </w:r>
          </w:p>
        </w:tc>
      </w:tr>
      <w:tr w:rsidR="00173F08" w:rsidRPr="002A677E" w14:paraId="6C60DC0C" w14:textId="77777777" w:rsidTr="00822842">
        <w:tc>
          <w:tcPr>
            <w:tcW w:w="1188" w:type="dxa"/>
          </w:tcPr>
          <w:p w14:paraId="539F5FBB"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0140</w:t>
            </w:r>
          </w:p>
        </w:tc>
        <w:tc>
          <w:tcPr>
            <w:tcW w:w="8640" w:type="dxa"/>
          </w:tcPr>
          <w:p w14:paraId="24287788" w14:textId="77777777" w:rsidR="00173F08" w:rsidRPr="002A677E" w:rsidRDefault="00173F08" w:rsidP="00822842">
            <w:pPr>
              <w:rPr>
                <w:rStyle w:val="InstructionsTabelleberschrift"/>
                <w:rFonts w:ascii="Times New Roman" w:hAnsi="Times New Roman"/>
                <w:b w:val="0"/>
                <w:sz w:val="24"/>
              </w:rPr>
            </w:pPr>
            <w:r>
              <w:rPr>
                <w:rStyle w:val="InstructionsTabelleberschrift"/>
                <w:rFonts w:ascii="Times New Roman" w:hAnsi="Times New Roman"/>
                <w:sz w:val="24"/>
              </w:rPr>
              <w:t>POVEZANI INSTRUMENTI REGULATORNOG KAPITALA, POVEZANA ZADRŽANA DOBIT, RAČUNI PREMIJA NA DIONICE I OSTALE REZERVE</w:t>
            </w:r>
          </w:p>
          <w:p w14:paraId="3F7E53C7" w14:textId="77777777" w:rsidR="00173F08" w:rsidRPr="002A677E" w:rsidRDefault="00173F08" w:rsidP="00822842">
            <w:pPr>
              <w:rPr>
                <w:rStyle w:val="InstructionsTabelleberschrift"/>
                <w:rFonts w:ascii="Times New Roman" w:hAnsi="Times New Roman"/>
                <w:b w:val="0"/>
                <w:sz w:val="24"/>
              </w:rPr>
            </w:pPr>
            <w:r>
              <w:rPr>
                <w:rStyle w:val="InstructionsTabelleberschrift"/>
                <w:rFonts w:ascii="Times New Roman" w:hAnsi="Times New Roman"/>
                <w:sz w:val="24"/>
              </w:rPr>
              <w:t>Članak 87. stavak 1. točka (b)</w:t>
            </w:r>
            <w:r>
              <w:rPr>
                <w:rFonts w:ascii="Times New Roman" w:hAnsi="Times New Roman"/>
                <w:sz w:val="24"/>
              </w:rPr>
              <w:t xml:space="preserve"> Uredbe (EU) br. 575/2013</w:t>
            </w:r>
          </w:p>
        </w:tc>
      </w:tr>
      <w:tr w:rsidR="00173F08" w:rsidRPr="002A677E" w14:paraId="389DE242" w14:textId="77777777" w:rsidTr="00822842">
        <w:tc>
          <w:tcPr>
            <w:tcW w:w="1188" w:type="dxa"/>
          </w:tcPr>
          <w:p w14:paraId="5AE6A1A2"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0150</w:t>
            </w:r>
          </w:p>
        </w:tc>
        <w:tc>
          <w:tcPr>
            <w:tcW w:w="8640" w:type="dxa"/>
          </w:tcPr>
          <w:p w14:paraId="5CD3A5A2" w14:textId="77777777" w:rsidR="00173F08" w:rsidRPr="001235ED"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UKUPNI OSNOVNI KAPITAL</w:t>
            </w:r>
          </w:p>
          <w:p w14:paraId="3E861344" w14:textId="77777777" w:rsidR="00173F08" w:rsidRPr="001235ED" w:rsidRDefault="00173F08" w:rsidP="00822842">
            <w:pPr>
              <w:rPr>
                <w:rStyle w:val="InstructionsTabelleberschrift"/>
                <w:rFonts w:ascii="Times New Roman" w:hAnsi="Times New Roman"/>
                <w:sz w:val="24"/>
              </w:rPr>
            </w:pPr>
            <w:r>
              <w:rPr>
                <w:rStyle w:val="InstructionsTabelleText"/>
                <w:rFonts w:ascii="Times New Roman" w:hAnsi="Times New Roman"/>
                <w:sz w:val="24"/>
              </w:rPr>
              <w:t>Članak 25.</w:t>
            </w:r>
            <w:r>
              <w:rPr>
                <w:rFonts w:ascii="Times New Roman" w:hAnsi="Times New Roman"/>
                <w:sz w:val="24"/>
              </w:rPr>
              <w:t xml:space="preserve"> Uredbe (EU) br. 575/2013</w:t>
            </w:r>
          </w:p>
        </w:tc>
      </w:tr>
      <w:tr w:rsidR="00173F08" w:rsidRPr="002A677E" w14:paraId="7471167E" w14:textId="77777777" w:rsidTr="00822842">
        <w:tc>
          <w:tcPr>
            <w:tcW w:w="1188" w:type="dxa"/>
          </w:tcPr>
          <w:p w14:paraId="1BFDCD8E"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0160</w:t>
            </w:r>
          </w:p>
        </w:tc>
        <w:tc>
          <w:tcPr>
            <w:tcW w:w="8640" w:type="dxa"/>
          </w:tcPr>
          <w:p w14:paraId="72C37050"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OD ČEGA: KVALIFICIRANI OSNOVNI KAPITAL</w:t>
            </w:r>
          </w:p>
          <w:p w14:paraId="4EB8A1F3"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Članak 82.</w:t>
            </w:r>
            <w:r>
              <w:rPr>
                <w:rFonts w:ascii="Times New Roman" w:hAnsi="Times New Roman"/>
                <w:sz w:val="24"/>
              </w:rPr>
              <w:t xml:space="preserve"> Uredbe (EU) br. 575/2013</w:t>
            </w:r>
          </w:p>
          <w:p w14:paraId="1C29CEE8"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Ovaj je stupac predviđen samo za društva kćeri koja se iskazuju na pojedinačnoj osnovi, koja su potpuno konsolidirana i koja su institucije.</w:t>
            </w:r>
          </w:p>
          <w:p w14:paraId="0AF355C7"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Kvalificirani udjeli su, za prethodno navedena društva kćeri, instrumenti (uvećani za povezanu zadržanu dobit i račune premija na dionice) u vlasništvu osoba koje nisu društva obuhvaćena konsolidacijom u skladu s Uredbom (EU) br. 575/2013.</w:t>
            </w:r>
          </w:p>
          <w:p w14:paraId="342E6F50"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Iznos koji se iskazuje uključuje učinke svih prijelaznih odredaba. To je priznati iznos na izvještajni datum.</w:t>
            </w:r>
          </w:p>
        </w:tc>
      </w:tr>
      <w:tr w:rsidR="00173F08" w:rsidRPr="002A677E" w14:paraId="4A7FFA9C" w14:textId="77777777" w:rsidTr="00822842">
        <w:tc>
          <w:tcPr>
            <w:tcW w:w="1188" w:type="dxa"/>
          </w:tcPr>
          <w:p w14:paraId="3178D616"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0170</w:t>
            </w:r>
          </w:p>
        </w:tc>
        <w:tc>
          <w:tcPr>
            <w:tcW w:w="8640" w:type="dxa"/>
          </w:tcPr>
          <w:p w14:paraId="03B9DCA4" w14:textId="77777777" w:rsidR="00173F08" w:rsidRPr="002A677E" w:rsidRDefault="00173F08" w:rsidP="00822842">
            <w:pPr>
              <w:rPr>
                <w:rStyle w:val="InstructionsTabelleberschrift"/>
                <w:rFonts w:ascii="Times New Roman" w:hAnsi="Times New Roman"/>
                <w:b w:val="0"/>
                <w:sz w:val="24"/>
              </w:rPr>
            </w:pPr>
            <w:r>
              <w:rPr>
                <w:rStyle w:val="InstructionsTabelleberschrift"/>
                <w:rFonts w:ascii="Times New Roman" w:hAnsi="Times New Roman"/>
                <w:sz w:val="24"/>
              </w:rPr>
              <w:t>POVEZANI INSTRUMENTI OSNOVNOG KAPITALA, POVEZANA ZADRŽANA DOBIT I RAČUNI PREMIJA NA DIONICE</w:t>
            </w:r>
          </w:p>
          <w:p w14:paraId="0C524078"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Članak 85. stavak 1. točka (b)</w:t>
            </w:r>
            <w:r>
              <w:rPr>
                <w:rFonts w:ascii="Times New Roman" w:hAnsi="Times New Roman"/>
                <w:sz w:val="24"/>
              </w:rPr>
              <w:t xml:space="preserve"> Uredbe (EU) br. 575/2013 </w:t>
            </w:r>
          </w:p>
        </w:tc>
      </w:tr>
      <w:tr w:rsidR="00173F08" w:rsidRPr="002A677E" w14:paraId="03F84939" w14:textId="77777777" w:rsidTr="00822842">
        <w:tc>
          <w:tcPr>
            <w:tcW w:w="1188" w:type="dxa"/>
          </w:tcPr>
          <w:p w14:paraId="2ABE034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0180</w:t>
            </w:r>
          </w:p>
        </w:tc>
        <w:tc>
          <w:tcPr>
            <w:tcW w:w="8640" w:type="dxa"/>
          </w:tcPr>
          <w:p w14:paraId="56913F2B"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REDOVNI OSNOVNI KAPITAL</w:t>
            </w:r>
          </w:p>
          <w:p w14:paraId="1D31362E"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Članak 50.</w:t>
            </w:r>
            <w:r>
              <w:rPr>
                <w:rFonts w:ascii="Times New Roman" w:hAnsi="Times New Roman"/>
                <w:sz w:val="24"/>
              </w:rPr>
              <w:t xml:space="preserve"> Uredbe (EU) br. 575/2013</w:t>
            </w:r>
          </w:p>
        </w:tc>
      </w:tr>
      <w:tr w:rsidR="00173F08" w:rsidRPr="002A677E" w14:paraId="0E2BA238" w14:textId="77777777" w:rsidTr="00822842">
        <w:tc>
          <w:tcPr>
            <w:tcW w:w="1188" w:type="dxa"/>
          </w:tcPr>
          <w:p w14:paraId="671DC042"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0190</w:t>
            </w:r>
          </w:p>
        </w:tc>
        <w:tc>
          <w:tcPr>
            <w:tcW w:w="8640" w:type="dxa"/>
          </w:tcPr>
          <w:p w14:paraId="7B6598C9"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OD ČEGA: MANJINSKI UDJELI</w:t>
            </w:r>
          </w:p>
          <w:p w14:paraId="03A35E0B"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Članak 81.</w:t>
            </w:r>
            <w:r>
              <w:rPr>
                <w:rFonts w:ascii="Times New Roman" w:hAnsi="Times New Roman"/>
                <w:sz w:val="24"/>
              </w:rPr>
              <w:t xml:space="preserve"> Uredbe (EU) br. 575/2013</w:t>
            </w:r>
          </w:p>
          <w:p w14:paraId="2D5B8BC3"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Ovaj se stupac ispunjava samo za društva kćeri koja su potpuno konsolidirana i koja su institucije, izuzev društava kćeri iz članka 84. stavka 3. Uredbe (EU) br. 575/2013.</w:t>
            </w:r>
            <w:r>
              <w:rPr>
                <w:rStyle w:val="InstructionsTabelleText"/>
                <w:rFonts w:ascii="Times New Roman" w:hAnsi="Times New Roman"/>
                <w:sz w:val="24"/>
              </w:rPr>
              <w:t xml:space="preserve"> </w:t>
            </w:r>
            <w:r>
              <w:rPr>
                <w:rFonts w:ascii="Times New Roman" w:hAnsi="Times New Roman"/>
                <w:sz w:val="24"/>
              </w:rPr>
              <w:t xml:space="preserve">Svako društvo kći razmatra se na </w:t>
            </w:r>
            <w:proofErr w:type="spellStart"/>
            <w:r>
              <w:rPr>
                <w:rFonts w:ascii="Times New Roman" w:hAnsi="Times New Roman"/>
                <w:sz w:val="24"/>
              </w:rPr>
              <w:t>potkonsolidiranoj</w:t>
            </w:r>
            <w:proofErr w:type="spellEnd"/>
            <w:r>
              <w:rPr>
                <w:rFonts w:ascii="Times New Roman" w:hAnsi="Times New Roman"/>
                <w:sz w:val="24"/>
              </w:rPr>
              <w:t xml:space="preserve"> osnovi za sve izračune koji su propisani člankom 84. Uredbe (EU) br. 575/2013, ako je relevantno, u skladu s člankom 84. stavkom 2., a inače na pojedinačnoj osnovi.</w:t>
            </w:r>
          </w:p>
          <w:p w14:paraId="2C0D816C"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Manjinski udjeli su, za prethodno navedena društva kćeri, instrumenti redovnog osnovnog kapitala (uvećani za povezanu zadržanu dobit i račune premija na dionice) u vlasništvu osoba koje nisu društva obuhvaćena konsolidacijom u skladu s Uredbom (EU) br. 575/2013.</w:t>
            </w:r>
          </w:p>
          <w:p w14:paraId="1D2ACDF3"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Iznos koji se iskazuje uključuje učinke svih prijelaznih odredaba. To je priznati iznos na izvještajni datum.</w:t>
            </w:r>
          </w:p>
        </w:tc>
      </w:tr>
      <w:tr w:rsidR="00173F08" w:rsidRPr="002A677E" w14:paraId="0252C0BA" w14:textId="77777777" w:rsidTr="00822842">
        <w:tc>
          <w:tcPr>
            <w:tcW w:w="1188" w:type="dxa"/>
          </w:tcPr>
          <w:p w14:paraId="3AFB0800"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0200</w:t>
            </w:r>
          </w:p>
        </w:tc>
        <w:tc>
          <w:tcPr>
            <w:tcW w:w="8640" w:type="dxa"/>
          </w:tcPr>
          <w:p w14:paraId="4B6EB0AE" w14:textId="77777777" w:rsidR="00173F08" w:rsidRPr="002A677E" w:rsidRDefault="00173F08" w:rsidP="00822842">
            <w:pPr>
              <w:rPr>
                <w:rStyle w:val="InstructionsTabelleberschrift"/>
                <w:rFonts w:ascii="Times New Roman" w:hAnsi="Times New Roman"/>
                <w:b w:val="0"/>
                <w:sz w:val="24"/>
              </w:rPr>
            </w:pPr>
            <w:r>
              <w:rPr>
                <w:rStyle w:val="InstructionsTabelleberschrift"/>
                <w:rFonts w:ascii="Times New Roman" w:hAnsi="Times New Roman"/>
                <w:sz w:val="24"/>
              </w:rPr>
              <w:t>POVEZANI INSTRUMENTI REGULATORNOG KAPITALA, POVEZANA ZADRŽANA DOBIT, RAČUNI PREMIJA NA DIONICE I OSTALE REZERVE</w:t>
            </w:r>
          </w:p>
          <w:p w14:paraId="707CE464" w14:textId="77777777" w:rsidR="00173F08" w:rsidRPr="002A677E" w:rsidRDefault="00173F08" w:rsidP="00822842">
            <w:pPr>
              <w:rPr>
                <w:rStyle w:val="InstructionsTabelleberschrift"/>
                <w:rFonts w:ascii="Times New Roman" w:hAnsi="Times New Roman"/>
                <w:b w:val="0"/>
                <w:sz w:val="24"/>
              </w:rPr>
            </w:pPr>
            <w:r>
              <w:rPr>
                <w:rStyle w:val="InstructionsTabelleberschrift"/>
                <w:rFonts w:ascii="Times New Roman" w:hAnsi="Times New Roman"/>
                <w:sz w:val="24"/>
              </w:rPr>
              <w:t>Članak 84. stavak 1. točka (b)</w:t>
            </w:r>
            <w:r>
              <w:rPr>
                <w:rFonts w:ascii="Times New Roman" w:hAnsi="Times New Roman"/>
                <w:sz w:val="24"/>
              </w:rPr>
              <w:t xml:space="preserve"> Uredbe (EU) br. 575/2013</w:t>
            </w:r>
          </w:p>
        </w:tc>
      </w:tr>
      <w:tr w:rsidR="00173F08" w:rsidRPr="002A677E" w14:paraId="79B83B2A" w14:textId="77777777" w:rsidTr="00822842">
        <w:tc>
          <w:tcPr>
            <w:tcW w:w="1188" w:type="dxa"/>
          </w:tcPr>
          <w:p w14:paraId="3BB83E5E"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0210</w:t>
            </w:r>
          </w:p>
        </w:tc>
        <w:tc>
          <w:tcPr>
            <w:tcW w:w="8640" w:type="dxa"/>
          </w:tcPr>
          <w:p w14:paraId="263D68BB"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DODATNI OSNOVNI KAPITAL</w:t>
            </w:r>
          </w:p>
          <w:p w14:paraId="1CE78A7A"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Članak 61.</w:t>
            </w:r>
            <w:r>
              <w:rPr>
                <w:rFonts w:ascii="Times New Roman" w:hAnsi="Times New Roman"/>
                <w:sz w:val="24"/>
              </w:rPr>
              <w:t xml:space="preserve"> Uredbe (EU) br. 575/2013</w:t>
            </w:r>
          </w:p>
        </w:tc>
      </w:tr>
      <w:tr w:rsidR="00173F08" w:rsidRPr="002A677E" w14:paraId="3A09E2CF" w14:textId="77777777" w:rsidTr="00822842">
        <w:tc>
          <w:tcPr>
            <w:tcW w:w="1188" w:type="dxa"/>
          </w:tcPr>
          <w:p w14:paraId="2BC2BA16"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0220</w:t>
            </w:r>
          </w:p>
        </w:tc>
        <w:tc>
          <w:tcPr>
            <w:tcW w:w="8640" w:type="dxa"/>
          </w:tcPr>
          <w:p w14:paraId="6869B355"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OD ČEGA: KVALIFICIRANI DODATNI OSNOVNI KAPITAL</w:t>
            </w:r>
          </w:p>
          <w:p w14:paraId="3A11BFD0"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Članci 82. i 83.</w:t>
            </w:r>
            <w:r>
              <w:rPr>
                <w:rFonts w:ascii="Times New Roman" w:hAnsi="Times New Roman"/>
                <w:sz w:val="24"/>
              </w:rPr>
              <w:t xml:space="preserve"> Uredbe (EU) br. 575/2013</w:t>
            </w:r>
          </w:p>
          <w:p w14:paraId="55F852AC"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Ovaj se stupac ispunjava samo za društva kćeri koja su potpuno konsolidirana i koja su institucije, izuzev društava kćeri iz članka 85. stavka 2. Uredbe (EU) br. 575/2013.</w:t>
            </w:r>
            <w:r>
              <w:rPr>
                <w:rStyle w:val="InstructionsTabelleText"/>
                <w:rFonts w:ascii="Times New Roman" w:hAnsi="Times New Roman"/>
                <w:sz w:val="24"/>
              </w:rPr>
              <w:t xml:space="preserve"> </w:t>
            </w:r>
            <w:r>
              <w:rPr>
                <w:rFonts w:ascii="Times New Roman" w:hAnsi="Times New Roman"/>
                <w:sz w:val="24"/>
              </w:rPr>
              <w:t xml:space="preserve">Svako društvo kći razmatra se na </w:t>
            </w:r>
            <w:proofErr w:type="spellStart"/>
            <w:r>
              <w:rPr>
                <w:rFonts w:ascii="Times New Roman" w:hAnsi="Times New Roman"/>
                <w:sz w:val="24"/>
              </w:rPr>
              <w:t>potkonsolidiranoj</w:t>
            </w:r>
            <w:proofErr w:type="spellEnd"/>
            <w:r>
              <w:rPr>
                <w:rFonts w:ascii="Times New Roman" w:hAnsi="Times New Roman"/>
                <w:sz w:val="24"/>
              </w:rPr>
              <w:t xml:space="preserve"> osnovi za sve izračune koji su propisani člankom 85. Uredbe (EU) br. 575/2013, ako je relevantno, u skladu s člankom 85. stavkom 2., a inače na pojedinačnoj osnovi.</w:t>
            </w:r>
          </w:p>
          <w:p w14:paraId="32886E98"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Manjinski udjeli su, za prethodno navedena društva kćeri, instrumenti dodatnog kapitala (uvećani za povezanu zadržanu dobit i račune premija na dionice) u vlasništvu osoba koje nisu društva obuhvaćena konsolidacijom u skladu s Uredbom (EU) br. 575/2013.</w:t>
            </w:r>
          </w:p>
          <w:p w14:paraId="37079C74"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Iznos koji se iskazuje uključuje učinke svih prijelaznih odredaba. To je priznati iznos na izvještajni datum.</w:t>
            </w:r>
          </w:p>
        </w:tc>
      </w:tr>
      <w:tr w:rsidR="00173F08" w:rsidRPr="002A677E" w14:paraId="3A46A33B" w14:textId="77777777" w:rsidTr="00822842">
        <w:tc>
          <w:tcPr>
            <w:tcW w:w="1188" w:type="dxa"/>
          </w:tcPr>
          <w:p w14:paraId="284F02C8"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0230</w:t>
            </w:r>
          </w:p>
        </w:tc>
        <w:tc>
          <w:tcPr>
            <w:tcW w:w="8640" w:type="dxa"/>
          </w:tcPr>
          <w:p w14:paraId="7A2A757D"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DOPUNSKI KAPITAL</w:t>
            </w:r>
          </w:p>
          <w:p w14:paraId="49EA3D83"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Članak 71.</w:t>
            </w:r>
            <w:r>
              <w:rPr>
                <w:rFonts w:ascii="Times New Roman" w:hAnsi="Times New Roman"/>
                <w:sz w:val="24"/>
              </w:rPr>
              <w:t xml:space="preserve"> Uredbe (EU) br. 575/2013</w:t>
            </w:r>
          </w:p>
        </w:tc>
      </w:tr>
      <w:tr w:rsidR="00173F08" w:rsidRPr="002A677E" w14:paraId="127ECDAA" w14:textId="77777777" w:rsidTr="00822842">
        <w:tc>
          <w:tcPr>
            <w:tcW w:w="1188" w:type="dxa"/>
          </w:tcPr>
          <w:p w14:paraId="42F0E3B4"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0240</w:t>
            </w:r>
          </w:p>
        </w:tc>
        <w:tc>
          <w:tcPr>
            <w:tcW w:w="8640" w:type="dxa"/>
          </w:tcPr>
          <w:p w14:paraId="2E5C3EFE"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OD ČEGA: KVALIFICIRANI DOPUNSKI KAPITAL</w:t>
            </w:r>
          </w:p>
          <w:p w14:paraId="23E95E82"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Članci 82. i 83.</w:t>
            </w:r>
            <w:r>
              <w:rPr>
                <w:rFonts w:ascii="Times New Roman" w:hAnsi="Times New Roman"/>
                <w:sz w:val="24"/>
              </w:rPr>
              <w:t xml:space="preserve"> Uredbe (EU) br. 575/2013</w:t>
            </w:r>
          </w:p>
          <w:p w14:paraId="4ADB5899"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Ovaj se stupac ispunjava samo za društva kćeri koja su potpuno konsolidirana i koja su institucije, izuzev društava kćeri iz članka 87. stavka 2. Uredbe (EU) br. 575/2013.</w:t>
            </w:r>
            <w:r>
              <w:rPr>
                <w:rStyle w:val="InstructionsTabelleText"/>
                <w:rFonts w:ascii="Times New Roman" w:hAnsi="Times New Roman"/>
                <w:sz w:val="24"/>
              </w:rPr>
              <w:t xml:space="preserve"> </w:t>
            </w:r>
            <w:r>
              <w:rPr>
                <w:rFonts w:ascii="Times New Roman" w:hAnsi="Times New Roman"/>
                <w:sz w:val="24"/>
              </w:rPr>
              <w:lastRenderedPageBreak/>
              <w:t xml:space="preserve">Svako društvo kći razmatra se na </w:t>
            </w:r>
            <w:proofErr w:type="spellStart"/>
            <w:r>
              <w:rPr>
                <w:rFonts w:ascii="Times New Roman" w:hAnsi="Times New Roman"/>
                <w:sz w:val="24"/>
              </w:rPr>
              <w:t>potkonsolidiranoj</w:t>
            </w:r>
            <w:proofErr w:type="spellEnd"/>
            <w:r>
              <w:rPr>
                <w:rFonts w:ascii="Times New Roman" w:hAnsi="Times New Roman"/>
                <w:sz w:val="24"/>
              </w:rPr>
              <w:t xml:space="preserve"> osnovi za sve izračune koji su propisani člankom 87. Uredbe (EU) br. 575/2013, ako je relevantno, u skladu s člankom 87. stavkom 2. te uredbe, a inače na pojedinačnoj osnovi.</w:t>
            </w:r>
            <w:r>
              <w:rPr>
                <w:rStyle w:val="InstructionsTabelleText"/>
                <w:rFonts w:ascii="Times New Roman" w:hAnsi="Times New Roman"/>
                <w:sz w:val="24"/>
              </w:rPr>
              <w:t xml:space="preserve"> </w:t>
            </w:r>
          </w:p>
          <w:p w14:paraId="5BE2C856"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Manjinski udjeli su, za prethodno navedena društva kćeri, instrumenti dopunskog kapitala (uvećani za povezanu zadržanu dobit i račune premija na dionice) u vlasništvu osoba koje nisu društva obuhvaćena konsolidacijom u skladu s Uredbom (EU) br. 575/2013.</w:t>
            </w:r>
          </w:p>
          <w:p w14:paraId="262C7485"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Iznos koji se iskazuje uključuje učinke svih prijelaznih odredaba. To je priznati iznos na referentni datum.</w:t>
            </w:r>
          </w:p>
        </w:tc>
      </w:tr>
      <w:tr w:rsidR="00173F08" w:rsidRPr="002A677E" w14:paraId="21CB95DC" w14:textId="77777777" w:rsidTr="00822842">
        <w:tc>
          <w:tcPr>
            <w:tcW w:w="1188" w:type="dxa"/>
          </w:tcPr>
          <w:p w14:paraId="25A4A0D7"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0250-0400</w:t>
            </w:r>
          </w:p>
        </w:tc>
        <w:tc>
          <w:tcPr>
            <w:tcW w:w="8640" w:type="dxa"/>
          </w:tcPr>
          <w:p w14:paraId="37BB26C8"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INFORMACIJE O DOPRINOSU SUBJEKATA SOLVENTNOSTI GRUPE</w:t>
            </w:r>
          </w:p>
        </w:tc>
      </w:tr>
      <w:tr w:rsidR="00173F08" w:rsidRPr="002A677E" w14:paraId="2F4DF8FC" w14:textId="77777777" w:rsidTr="00822842">
        <w:tc>
          <w:tcPr>
            <w:tcW w:w="1188" w:type="dxa"/>
          </w:tcPr>
          <w:p w14:paraId="1A40CC2D"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0250-0290</w:t>
            </w:r>
          </w:p>
        </w:tc>
        <w:tc>
          <w:tcPr>
            <w:tcW w:w="8640" w:type="dxa"/>
          </w:tcPr>
          <w:p w14:paraId="42E5971D"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DOPRINOS RIZICIMA</w:t>
            </w:r>
          </w:p>
          <w:p w14:paraId="7CE31949" w14:textId="77777777" w:rsidR="00173F08" w:rsidRPr="002A677E" w:rsidRDefault="00173F08" w:rsidP="00822842">
            <w:pPr>
              <w:rPr>
                <w:rStyle w:val="InstructionsTabelleberschrift"/>
                <w:rFonts w:ascii="Times New Roman" w:hAnsi="Times New Roman"/>
                <w:sz w:val="24"/>
              </w:rPr>
            </w:pPr>
            <w:r>
              <w:rPr>
                <w:rFonts w:ascii="Times New Roman" w:hAnsi="Times New Roman"/>
                <w:sz w:val="24"/>
              </w:rPr>
              <w:t>Informacije iskazane u sljedećim stupcima u skladu su s pravilima o solventnosti koja se primjenjuju na instituciju koja izvješćuje.</w:t>
            </w:r>
          </w:p>
        </w:tc>
      </w:tr>
      <w:tr w:rsidR="00173F08" w:rsidRPr="002A677E" w14:paraId="2B71B535" w14:textId="77777777" w:rsidTr="00822842">
        <w:tc>
          <w:tcPr>
            <w:tcW w:w="1188" w:type="dxa"/>
          </w:tcPr>
          <w:p w14:paraId="5D55B1F0"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0250</w:t>
            </w:r>
          </w:p>
        </w:tc>
        <w:tc>
          <w:tcPr>
            <w:tcW w:w="8640" w:type="dxa"/>
          </w:tcPr>
          <w:p w14:paraId="3B982E96"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IZNOS UKUPNE IZLOŽENOSTI RIZIKU</w:t>
            </w:r>
          </w:p>
          <w:p w14:paraId="584007A2"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Iskazuje se zbroj stupaca od 0260 do 0290.</w:t>
            </w:r>
          </w:p>
        </w:tc>
      </w:tr>
      <w:tr w:rsidR="00173F08" w:rsidRPr="002A677E" w14:paraId="04A08911" w14:textId="77777777" w:rsidTr="00822842">
        <w:tc>
          <w:tcPr>
            <w:tcW w:w="1188" w:type="dxa"/>
          </w:tcPr>
          <w:p w14:paraId="4441868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0260</w:t>
            </w:r>
          </w:p>
        </w:tc>
        <w:tc>
          <w:tcPr>
            <w:tcW w:w="8640" w:type="dxa"/>
          </w:tcPr>
          <w:p w14:paraId="20D38FF7"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KREDITNI RIZIK; KREDITNI RIZIK DRUGE UGOVORNE STRANE; RAZRJEĐIVAČKI RIZIK, SLOBODNE ISPORUKE I RIZIK NAMIRE/ISPORUKE</w:t>
            </w:r>
          </w:p>
          <w:p w14:paraId="6F46A7CE"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Iskazuju se iznosi izloženosti ponderirani rizikom za kreditni rizik i kapitalne zahtjeve u pogledu rizika namire/isporuke u skladu s Uredbom (EU) br. 575/2013, isključujući iznose povezane s transakcijama s ostalim subjektima uključenima u izračun konsolidirane stope solventnosti grupe.</w:t>
            </w:r>
          </w:p>
        </w:tc>
      </w:tr>
      <w:tr w:rsidR="00173F08" w:rsidRPr="002A677E" w14:paraId="659CB778" w14:textId="77777777" w:rsidTr="00822842">
        <w:tc>
          <w:tcPr>
            <w:tcW w:w="1188" w:type="dxa"/>
          </w:tcPr>
          <w:p w14:paraId="1DB71523"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0270</w:t>
            </w:r>
          </w:p>
        </w:tc>
        <w:tc>
          <w:tcPr>
            <w:tcW w:w="8640" w:type="dxa"/>
          </w:tcPr>
          <w:p w14:paraId="13B2AFE4" w14:textId="4AF0329D"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TRŽIŠNI RIZICI</w:t>
            </w:r>
          </w:p>
          <w:p w14:paraId="49127EF1" w14:textId="157C9035" w:rsidR="00173F08" w:rsidRPr="001235ED" w:rsidRDefault="00173F08" w:rsidP="00822842">
            <w:pPr>
              <w:rPr>
                <w:rStyle w:val="InstructionsTabelleText"/>
                <w:rFonts w:ascii="Times New Roman" w:hAnsi="Times New Roman"/>
                <w:sz w:val="24"/>
              </w:rPr>
            </w:pPr>
            <w:r>
              <w:rPr>
                <w:rFonts w:ascii="Times New Roman" w:hAnsi="Times New Roman"/>
                <w:sz w:val="24"/>
              </w:rPr>
              <w:t>Iznosi izloženosti riziku za tržišne rizike izračunavaju se na razini svakog subjekta u skladu s Uredbom (EU) br. 575/2013.</w:t>
            </w:r>
            <w:r>
              <w:rPr>
                <w:rStyle w:val="InstructionsTabelleText"/>
                <w:rFonts w:ascii="Times New Roman" w:hAnsi="Times New Roman"/>
                <w:sz w:val="24"/>
              </w:rPr>
              <w:t xml:space="preserve"> Subjekti iskazuju doprinos iznosima ukupne izloženosti riziku za tržišni rizik grupe. Ovdje iskazani zbroj iznosa odgovara iznosu iskazanom u retku 0520 „IZNOS UKUPNE IZLOŽENOSTI RIZIKU ZA POSLOVE IZLOŽENE TRŽIŠNOM RIZIKU”</w:t>
            </w:r>
            <w:r>
              <w:rPr>
                <w:rFonts w:ascii="Times New Roman" w:hAnsi="Times New Roman"/>
                <w:sz w:val="24"/>
              </w:rPr>
              <w:t xml:space="preserve"> konsolidiranog</w:t>
            </w:r>
            <w:r>
              <w:rPr>
                <w:rStyle w:val="InstructionsTabelleText"/>
                <w:rFonts w:ascii="Times New Roman" w:hAnsi="Times New Roman"/>
                <w:sz w:val="24"/>
              </w:rPr>
              <w:t xml:space="preserve"> izvještaja.</w:t>
            </w:r>
          </w:p>
        </w:tc>
      </w:tr>
      <w:tr w:rsidR="00173F08" w:rsidRPr="002A677E" w14:paraId="50F614F9" w14:textId="77777777" w:rsidTr="00822842">
        <w:tc>
          <w:tcPr>
            <w:tcW w:w="1188" w:type="dxa"/>
          </w:tcPr>
          <w:p w14:paraId="48376137"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0280</w:t>
            </w:r>
          </w:p>
        </w:tc>
        <w:tc>
          <w:tcPr>
            <w:tcW w:w="8640" w:type="dxa"/>
          </w:tcPr>
          <w:p w14:paraId="0F996708"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OPERATIVNI RIZIK</w:t>
            </w:r>
          </w:p>
          <w:p w14:paraId="58C1AE53" w14:textId="2055313A" w:rsidR="00702B2E" w:rsidRPr="00702B2E" w:rsidRDefault="00702B2E" w:rsidP="00822842">
            <w:pPr>
              <w:rPr>
                <w:rFonts w:ascii="Times New Roman" w:hAnsi="Times New Roman"/>
                <w:sz w:val="24"/>
              </w:rPr>
            </w:pPr>
            <w:r>
              <w:rPr>
                <w:rFonts w:ascii="Times New Roman" w:hAnsi="Times New Roman"/>
                <w:sz w:val="24"/>
              </w:rPr>
              <w:t>Iznos koji se iskazuje u ovom stupcu odgovara iznosu izloženosti riziku za operativni rizik.</w:t>
            </w:r>
          </w:p>
          <w:p w14:paraId="585BB330" w14:textId="03A1297F" w:rsidR="00173F08" w:rsidRPr="002A677E" w:rsidRDefault="00173F08" w:rsidP="00822842">
            <w:pPr>
              <w:rPr>
                <w:rStyle w:val="InstructionsTabelleText"/>
                <w:rFonts w:ascii="Times New Roman" w:hAnsi="Times New Roman"/>
                <w:sz w:val="24"/>
              </w:rPr>
            </w:pPr>
            <w:r>
              <w:rPr>
                <w:rFonts w:ascii="Times New Roman" w:hAnsi="Times New Roman"/>
                <w:caps/>
                <w:sz w:val="24"/>
              </w:rPr>
              <w:t>F</w:t>
            </w:r>
            <w:r>
              <w:rPr>
                <w:rFonts w:ascii="Times New Roman" w:hAnsi="Times New Roman"/>
                <w:sz w:val="24"/>
              </w:rPr>
              <w:t>iksni opći troškovi uključeni su u ovaj stupac.</w:t>
            </w:r>
          </w:p>
        </w:tc>
      </w:tr>
      <w:tr w:rsidR="00173F08" w:rsidRPr="002A677E" w14:paraId="3D9214F2" w14:textId="77777777" w:rsidTr="00822842">
        <w:tc>
          <w:tcPr>
            <w:tcW w:w="1188" w:type="dxa"/>
          </w:tcPr>
          <w:p w14:paraId="0B8F7AD0"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0290</w:t>
            </w:r>
          </w:p>
        </w:tc>
        <w:tc>
          <w:tcPr>
            <w:tcW w:w="8640" w:type="dxa"/>
          </w:tcPr>
          <w:p w14:paraId="1A6735B0"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OSTALI IZNOSI IZLOŽENOSTI RIZIKU</w:t>
            </w:r>
          </w:p>
          <w:p w14:paraId="0483564A"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Iznos koji se iskazuje u ovom stupcu odgovara iznosu izloženosti rizicima za rizike koji nisu prethodno navedeni.</w:t>
            </w:r>
          </w:p>
        </w:tc>
      </w:tr>
      <w:tr w:rsidR="00173F08" w:rsidRPr="002A677E" w14:paraId="120F25EE" w14:textId="77777777" w:rsidTr="00822842">
        <w:tc>
          <w:tcPr>
            <w:tcW w:w="1188" w:type="dxa"/>
          </w:tcPr>
          <w:p w14:paraId="283A6D5E"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0300-0400</w:t>
            </w:r>
          </w:p>
        </w:tc>
        <w:tc>
          <w:tcPr>
            <w:tcW w:w="8640" w:type="dxa"/>
          </w:tcPr>
          <w:p w14:paraId="648286BD"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DOPRINOS REGULATORNOM KAPITALU</w:t>
            </w:r>
          </w:p>
          <w:p w14:paraId="7E77E775" w14:textId="77777777" w:rsidR="00173F08" w:rsidRPr="001235ED" w:rsidRDefault="00173F08" w:rsidP="00822842">
            <w:pPr>
              <w:pStyle w:val="Texte2"/>
              <w:ind w:left="0"/>
              <w:rPr>
                <w:rStyle w:val="InstructionsTabelleText"/>
                <w:rFonts w:ascii="Times New Roman" w:hAnsi="Times New Roman"/>
                <w:sz w:val="24"/>
                <w:szCs w:val="24"/>
              </w:rPr>
            </w:pPr>
            <w:r>
              <w:rPr>
                <w:rStyle w:val="InstructionsTabelleText"/>
                <w:rFonts w:ascii="Times New Roman" w:hAnsi="Times New Roman"/>
                <w:sz w:val="24"/>
              </w:rPr>
              <w:lastRenderedPageBreak/>
              <w:t xml:space="preserve">Ovim se dijelom obrasca ne namjerava odrediti institucijama provedba punog izračuna ukupne stope kapitala na razini svakog subjekta. </w:t>
            </w:r>
          </w:p>
          <w:p w14:paraId="58F77BCC" w14:textId="77777777" w:rsidR="00173F08" w:rsidRPr="002A677E" w:rsidRDefault="00173F08" w:rsidP="00822842">
            <w:pPr>
              <w:pStyle w:val="Texte2"/>
              <w:ind w:left="0"/>
              <w:rPr>
                <w:rStyle w:val="InstructionsTabelleText"/>
                <w:rFonts w:ascii="Times New Roman" w:hAnsi="Times New Roman"/>
                <w:sz w:val="24"/>
                <w:szCs w:val="24"/>
              </w:rPr>
            </w:pPr>
            <w:r>
              <w:rPr>
                <w:rFonts w:ascii="Times New Roman" w:hAnsi="Times New Roman"/>
                <w:sz w:val="24"/>
              </w:rPr>
              <w:t>Stupci od 0300 do 0350 ispunjavaju se za konsolidirane subjekte koji regulatornom kapitalu doprinose manjinskim udjelima,</w:t>
            </w:r>
            <w:r>
              <w:t xml:space="preserve"> </w:t>
            </w:r>
            <w:r>
              <w:rPr>
                <w:rFonts w:ascii="Times New Roman" w:hAnsi="Times New Roman"/>
                <w:sz w:val="24"/>
              </w:rPr>
              <w:t>kvalificiranim osnovnim kapitalom ili kvalificiranim regulatornim kapitalom. Podložno primjeni praga iz zadnje točke prethodno navedenog dijela II. poglavlja 2.3., stupci od 0360 do 0400 ispunjavaju se za sve konsolidirane subjekte koji doprinose konsolidiranom regulatornom kapitalu.</w:t>
            </w:r>
          </w:p>
          <w:p w14:paraId="29552A89" w14:textId="77777777" w:rsidR="00173F08" w:rsidRPr="002A677E" w:rsidRDefault="00173F08" w:rsidP="00822842">
            <w:pPr>
              <w:pStyle w:val="Texte2"/>
              <w:ind w:left="0"/>
              <w:rPr>
                <w:rStyle w:val="InstructionsTabelleText"/>
                <w:rFonts w:ascii="Times New Roman" w:hAnsi="Times New Roman"/>
                <w:sz w:val="24"/>
                <w:szCs w:val="24"/>
              </w:rPr>
            </w:pPr>
            <w:r>
              <w:rPr>
                <w:rStyle w:val="InstructionsTabelleText"/>
                <w:rFonts w:ascii="Times New Roman" w:hAnsi="Times New Roman"/>
                <w:sz w:val="24"/>
              </w:rPr>
              <w:t xml:space="preserve">Regulatorni kapital koji su u neki subjekt unijeli preostali subjekti uključeni u opseg subjekta koji izvješćuje ne uzima se u obzir; samo se neto doprinos regulatornom kapitalu grupe iskazuje u ovom stupcu (uglavnom regulatorni kapital prikupljen od trećih strana i akumulirane rezerve). </w:t>
            </w:r>
          </w:p>
          <w:p w14:paraId="434D930D" w14:textId="77777777" w:rsidR="00173F08" w:rsidRPr="002A677E" w:rsidRDefault="00173F08" w:rsidP="00822842">
            <w:pPr>
              <w:pStyle w:val="Texte2"/>
              <w:spacing w:after="120"/>
              <w:ind w:left="0"/>
              <w:rPr>
                <w:rStyle w:val="InstructionsTabelleberschrift"/>
                <w:rFonts w:ascii="Times New Roman" w:hAnsi="Times New Roman"/>
                <w:b w:val="0"/>
                <w:bCs w:val="0"/>
                <w:sz w:val="24"/>
                <w:szCs w:val="24"/>
              </w:rPr>
            </w:pPr>
            <w:r>
              <w:rPr>
                <w:rStyle w:val="InstructionsTabelleText"/>
                <w:rFonts w:ascii="Times New Roman" w:hAnsi="Times New Roman"/>
                <w:sz w:val="24"/>
              </w:rPr>
              <w:t>Informacije iskazane u sljedećim stupcima u skladu su s pravilima o solventnosti koja se primjenjuju na instituciju koja izvješćuje.</w:t>
            </w:r>
          </w:p>
        </w:tc>
      </w:tr>
      <w:tr w:rsidR="00173F08" w:rsidRPr="002A677E" w14:paraId="00233A1B" w14:textId="77777777" w:rsidTr="00822842">
        <w:tc>
          <w:tcPr>
            <w:tcW w:w="1188" w:type="dxa"/>
          </w:tcPr>
          <w:p w14:paraId="6A2EC485"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0300-0350</w:t>
            </w:r>
          </w:p>
        </w:tc>
        <w:tc>
          <w:tcPr>
            <w:tcW w:w="8640" w:type="dxa"/>
          </w:tcPr>
          <w:p w14:paraId="1F3610D7"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KVALIFICIRANI REGULATORNI KAPITAL UKLJUČEN U KONSOLIDIRANI REGULATORNI KAPITAL</w:t>
            </w:r>
          </w:p>
          <w:p w14:paraId="7830B882" w14:textId="77777777" w:rsidR="00173F08" w:rsidRPr="002A677E" w:rsidRDefault="00173F08" w:rsidP="00822842">
            <w:pPr>
              <w:rPr>
                <w:rStyle w:val="InstructionsTabelleberschrift"/>
                <w:rFonts w:ascii="Times New Roman" w:hAnsi="Times New Roman"/>
                <w:sz w:val="24"/>
              </w:rPr>
            </w:pPr>
            <w:r>
              <w:rPr>
                <w:rFonts w:ascii="Times New Roman" w:hAnsi="Times New Roman"/>
                <w:sz w:val="24"/>
              </w:rPr>
              <w:t>Iznos koji se iskazuje kao „KVALIFICIRANI REGULATORNI KAPITAL UKLJUČEN U KONSOLIDIRANI REGULATORNI KAPITAL” iznos je izveden iz dijela drugog glave II. Uredbe (EU) br. 575/2013, isključujući sredstva koja su unijeli ostali subjekti unutar grupe.</w:t>
            </w:r>
          </w:p>
        </w:tc>
      </w:tr>
      <w:tr w:rsidR="00173F08" w:rsidRPr="002A677E" w14:paraId="2D948A28" w14:textId="77777777" w:rsidTr="00822842">
        <w:tc>
          <w:tcPr>
            <w:tcW w:w="1188" w:type="dxa"/>
          </w:tcPr>
          <w:p w14:paraId="6278E06B"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0300</w:t>
            </w:r>
          </w:p>
        </w:tc>
        <w:tc>
          <w:tcPr>
            <w:tcW w:w="8640" w:type="dxa"/>
          </w:tcPr>
          <w:p w14:paraId="52465511"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KVALIFICIRANI REGULATORNI KAPITAL UKLJUČEN U KONSOLIDIRANI REGULATORNI KAPITAL</w:t>
            </w:r>
          </w:p>
          <w:p w14:paraId="6F3A607D"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Članak 87.</w:t>
            </w:r>
            <w:r>
              <w:rPr>
                <w:rFonts w:ascii="Times New Roman" w:hAnsi="Times New Roman"/>
                <w:sz w:val="24"/>
              </w:rPr>
              <w:t xml:space="preserve"> Uredbe (EU) br. 575/2013</w:t>
            </w:r>
          </w:p>
        </w:tc>
      </w:tr>
      <w:tr w:rsidR="00173F08" w:rsidRPr="002A677E" w14:paraId="1998204E" w14:textId="77777777" w:rsidTr="00822842">
        <w:tc>
          <w:tcPr>
            <w:tcW w:w="1188" w:type="dxa"/>
          </w:tcPr>
          <w:p w14:paraId="3684E5FE"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0310</w:t>
            </w:r>
          </w:p>
        </w:tc>
        <w:tc>
          <w:tcPr>
            <w:tcW w:w="8640" w:type="dxa"/>
          </w:tcPr>
          <w:p w14:paraId="2378035D"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INSTRUMENTI KVALIFICIRANOG OSNOVNOG KAPITALA UKLJUČENI U KONSOLIDIRANI OSNOVNI KAPITAL</w:t>
            </w:r>
          </w:p>
          <w:p w14:paraId="4E25C234"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Članak 85.</w:t>
            </w:r>
            <w:r>
              <w:rPr>
                <w:rFonts w:ascii="Times New Roman" w:hAnsi="Times New Roman"/>
                <w:sz w:val="24"/>
              </w:rPr>
              <w:t xml:space="preserve"> Uredbe (EU) br. 575/2013</w:t>
            </w:r>
          </w:p>
        </w:tc>
      </w:tr>
      <w:tr w:rsidR="00173F08" w:rsidRPr="002A677E" w14:paraId="70CC0CF1" w14:textId="77777777" w:rsidTr="00822842">
        <w:tc>
          <w:tcPr>
            <w:tcW w:w="1188" w:type="dxa"/>
          </w:tcPr>
          <w:p w14:paraId="7C1C1AE3"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0320</w:t>
            </w:r>
          </w:p>
        </w:tc>
        <w:tc>
          <w:tcPr>
            <w:tcW w:w="8640" w:type="dxa"/>
          </w:tcPr>
          <w:p w14:paraId="5D406C67" w14:textId="77777777" w:rsidR="00173F08" w:rsidRPr="002A677E" w:rsidRDefault="00173F08" w:rsidP="00822842">
            <w:pPr>
              <w:rPr>
                <w:rStyle w:val="InstructionsTabelleText"/>
                <w:rFonts w:ascii="Times New Roman" w:hAnsi="Times New Roman"/>
                <w:sz w:val="24"/>
              </w:rPr>
            </w:pPr>
            <w:r>
              <w:rPr>
                <w:rStyle w:val="InstructionsTabelleberschrift"/>
                <w:rFonts w:ascii="Times New Roman" w:hAnsi="Times New Roman"/>
                <w:sz w:val="24"/>
              </w:rPr>
              <w:t xml:space="preserve">MANJINSKI UDJELI UKLJUČENI U KONSOLIDIRANI </w:t>
            </w:r>
            <w:r>
              <w:rPr>
                <w:rStyle w:val="InstructionsTabelleberschrift"/>
                <w:rFonts w:ascii="Times New Roman" w:hAnsi="Times New Roman"/>
                <w:sz w:val="24"/>
              </w:rPr>
              <w:br/>
              <w:t>REDOVNI OSNOVNI KAPITAL</w:t>
            </w:r>
          </w:p>
          <w:p w14:paraId="0B8B81AA"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Članak 84.</w:t>
            </w:r>
            <w:r>
              <w:rPr>
                <w:rFonts w:ascii="Times New Roman" w:hAnsi="Times New Roman"/>
                <w:sz w:val="24"/>
              </w:rPr>
              <w:t xml:space="preserve"> Uredbe (EU) br. 575/2013</w:t>
            </w:r>
          </w:p>
          <w:p w14:paraId="01FA0CDC"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Iskazuje se iznos manjinskih udjela društva kćeri koji su uključeni u konsolidirani redovni osnovni kapital u skladu s Uredbom (EU) br. 575/2013.</w:t>
            </w:r>
            <w:r>
              <w:rPr>
                <w:rStyle w:val="InstructionsTabelleText"/>
                <w:rFonts w:ascii="Times New Roman" w:hAnsi="Times New Roman"/>
                <w:sz w:val="24"/>
              </w:rPr>
              <w:t xml:space="preserve"> </w:t>
            </w:r>
          </w:p>
        </w:tc>
      </w:tr>
      <w:tr w:rsidR="00173F08" w:rsidRPr="002A677E" w14:paraId="72674BB4" w14:textId="77777777" w:rsidTr="00822842">
        <w:tc>
          <w:tcPr>
            <w:tcW w:w="1188" w:type="dxa"/>
          </w:tcPr>
          <w:p w14:paraId="5F195C28"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0330</w:t>
            </w:r>
          </w:p>
        </w:tc>
        <w:tc>
          <w:tcPr>
            <w:tcW w:w="8640" w:type="dxa"/>
          </w:tcPr>
          <w:p w14:paraId="6AF15CF2" w14:textId="77777777" w:rsidR="00173F08" w:rsidRPr="002A677E" w:rsidRDefault="00173F08" w:rsidP="00822842">
            <w:pPr>
              <w:rPr>
                <w:rStyle w:val="InstructionsTabelleText"/>
                <w:rFonts w:ascii="Times New Roman" w:hAnsi="Times New Roman"/>
                <w:sz w:val="24"/>
              </w:rPr>
            </w:pPr>
            <w:r>
              <w:rPr>
                <w:rStyle w:val="InstructionsTabelleberschrift"/>
                <w:rFonts w:ascii="Times New Roman" w:hAnsi="Times New Roman"/>
                <w:sz w:val="24"/>
              </w:rPr>
              <w:t>INSTRUMENTI KVALIFICIRANOG OSNOVNOG KAPITALA UKLJUČENI U KONSOLIDIRANI DODATNI OSNOVNI KAPITAL</w:t>
            </w:r>
          </w:p>
          <w:p w14:paraId="488797C4"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Članak 86.</w:t>
            </w:r>
            <w:r>
              <w:rPr>
                <w:rFonts w:ascii="Times New Roman" w:hAnsi="Times New Roman"/>
                <w:sz w:val="24"/>
              </w:rPr>
              <w:t xml:space="preserve"> Uredbe (EU) br. 575/2013</w:t>
            </w:r>
          </w:p>
          <w:p w14:paraId="14D60AC1"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Iskazuje se iznos manjinskih udjela društva kćeri koji su uključeni u kvalificirani osnovni kapital u skladu s Uredbom (EU) br. 575/2013.</w:t>
            </w:r>
            <w:r>
              <w:rPr>
                <w:rStyle w:val="InstructionsTabelleText"/>
                <w:rFonts w:ascii="Times New Roman" w:hAnsi="Times New Roman"/>
                <w:sz w:val="24"/>
              </w:rPr>
              <w:t xml:space="preserve"> </w:t>
            </w:r>
          </w:p>
        </w:tc>
      </w:tr>
      <w:tr w:rsidR="00173F08" w:rsidRPr="002A677E" w14:paraId="26437422" w14:textId="77777777" w:rsidTr="00822842">
        <w:tc>
          <w:tcPr>
            <w:tcW w:w="1188" w:type="dxa"/>
          </w:tcPr>
          <w:p w14:paraId="7FD01E11"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0340</w:t>
            </w:r>
          </w:p>
        </w:tc>
        <w:tc>
          <w:tcPr>
            <w:tcW w:w="8640" w:type="dxa"/>
          </w:tcPr>
          <w:p w14:paraId="6E1E5EBF"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INSTRUMENTI KVALIFICIRANOG REGULATORNOG KAPITALA UKLJUČENI U</w:t>
            </w:r>
            <w:r>
              <w:rPr>
                <w:rStyle w:val="InstructionsTabelleberschrift"/>
                <w:rFonts w:ascii="Times New Roman" w:hAnsi="Times New Roman"/>
                <w:sz w:val="24"/>
              </w:rPr>
              <w:br/>
              <w:t>KONSOLIDIRANI DOPUNSKI KAPITAL</w:t>
            </w:r>
          </w:p>
          <w:p w14:paraId="1E25A6DF"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Članak 88.</w:t>
            </w:r>
            <w:r>
              <w:rPr>
                <w:rFonts w:ascii="Times New Roman" w:hAnsi="Times New Roman"/>
                <w:sz w:val="24"/>
              </w:rPr>
              <w:t xml:space="preserve"> Uredbe (EU) br. 575/2013</w:t>
            </w:r>
          </w:p>
          <w:p w14:paraId="257F78A1"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lastRenderedPageBreak/>
              <w:t>Iskazuje se iznos manjinskih udjela društva kćeri koji su uključeni u konsolidirani dopunski kapital u skladu s Uredbom (EU) br. 575/2013.</w:t>
            </w:r>
            <w:r>
              <w:rPr>
                <w:rStyle w:val="InstructionsTabelleText"/>
                <w:rFonts w:ascii="Times New Roman" w:hAnsi="Times New Roman"/>
                <w:sz w:val="24"/>
              </w:rPr>
              <w:t xml:space="preserve"> </w:t>
            </w:r>
          </w:p>
        </w:tc>
      </w:tr>
      <w:tr w:rsidR="00173F08" w:rsidRPr="002A677E" w14:paraId="39EA7587" w14:textId="77777777" w:rsidTr="00822842">
        <w:tc>
          <w:tcPr>
            <w:tcW w:w="1188" w:type="dxa"/>
          </w:tcPr>
          <w:p w14:paraId="04CB064F" w14:textId="77777777" w:rsidR="00173F08" w:rsidRPr="002A677E" w:rsidRDefault="00173F08" w:rsidP="00822842">
            <w:pPr>
              <w:rPr>
                <w:rFonts w:ascii="Times New Roman" w:hAnsi="Times New Roman"/>
                <w:sz w:val="24"/>
              </w:rPr>
            </w:pPr>
            <w:r>
              <w:rPr>
                <w:rFonts w:ascii="Times New Roman" w:hAnsi="Times New Roman"/>
                <w:sz w:val="24"/>
              </w:rPr>
              <w:lastRenderedPageBreak/>
              <w:t>0350</w:t>
            </w:r>
          </w:p>
        </w:tc>
        <w:tc>
          <w:tcPr>
            <w:tcW w:w="8640" w:type="dxa"/>
          </w:tcPr>
          <w:p w14:paraId="7BBDC2E3" w14:textId="77777777" w:rsidR="00173F08" w:rsidRPr="002A677E" w:rsidRDefault="00173F08" w:rsidP="00822842">
            <w:pPr>
              <w:rPr>
                <w:rStyle w:val="InstructionsTabelleberschrift"/>
                <w:rFonts w:ascii="Times New Roman" w:hAnsi="Times New Roman"/>
                <w:b w:val="0"/>
                <w:sz w:val="24"/>
              </w:rPr>
            </w:pPr>
            <w:r>
              <w:rPr>
                <w:rStyle w:val="InstructionsTabelleberschrift"/>
                <w:rFonts w:ascii="Times New Roman" w:hAnsi="Times New Roman"/>
                <w:sz w:val="24"/>
              </w:rPr>
              <w:t>BILJEŠKA: GOODWILL (–) / (+) NEGATIVAN GOODWILL</w:t>
            </w:r>
          </w:p>
        </w:tc>
      </w:tr>
      <w:tr w:rsidR="00173F08" w:rsidRPr="002A677E" w14:paraId="3997C23F" w14:textId="77777777" w:rsidTr="00822842">
        <w:tc>
          <w:tcPr>
            <w:tcW w:w="1188" w:type="dxa"/>
          </w:tcPr>
          <w:p w14:paraId="72AB87A5" w14:textId="77777777" w:rsidR="00173F08" w:rsidRPr="002A677E" w:rsidRDefault="00173F08" w:rsidP="00822842">
            <w:pPr>
              <w:rPr>
                <w:rFonts w:ascii="Times New Roman" w:hAnsi="Times New Roman"/>
                <w:sz w:val="24"/>
              </w:rPr>
            </w:pPr>
            <w:r>
              <w:rPr>
                <w:rFonts w:ascii="Times New Roman" w:hAnsi="Times New Roman"/>
                <w:sz w:val="24"/>
              </w:rPr>
              <w:t>0360-0400</w:t>
            </w:r>
          </w:p>
        </w:tc>
        <w:tc>
          <w:tcPr>
            <w:tcW w:w="8640" w:type="dxa"/>
          </w:tcPr>
          <w:p w14:paraId="397FA959"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KONSOLIDIRANI REGULATORNI KAPITAL</w:t>
            </w:r>
          </w:p>
          <w:p w14:paraId="71907E17"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Članak 18.</w:t>
            </w:r>
            <w:r>
              <w:rPr>
                <w:rFonts w:ascii="Times New Roman" w:hAnsi="Times New Roman"/>
                <w:sz w:val="24"/>
              </w:rPr>
              <w:t xml:space="preserve"> Uredbe (EU) br. 575/2013</w:t>
            </w:r>
          </w:p>
          <w:p w14:paraId="4F42327D"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Iznos koji se iskazuje kao „KONSOLIDIRANI REGULATORNI KAPITAL” iznos je izveden iz bilance, isključujući sva sredstva koja su unijeli ostali subjekti unutar grupe.</w:t>
            </w:r>
          </w:p>
        </w:tc>
      </w:tr>
      <w:tr w:rsidR="00173F08" w:rsidRPr="002A677E" w14:paraId="293A7FF6" w14:textId="77777777" w:rsidTr="00822842">
        <w:tc>
          <w:tcPr>
            <w:tcW w:w="1188" w:type="dxa"/>
          </w:tcPr>
          <w:p w14:paraId="0E03C6C1" w14:textId="77777777" w:rsidR="00173F08" w:rsidRPr="002A677E" w:rsidRDefault="00173F08" w:rsidP="00822842">
            <w:pPr>
              <w:rPr>
                <w:rFonts w:ascii="Times New Roman" w:hAnsi="Times New Roman"/>
                <w:sz w:val="24"/>
              </w:rPr>
            </w:pPr>
            <w:r>
              <w:rPr>
                <w:rFonts w:ascii="Times New Roman" w:hAnsi="Times New Roman"/>
                <w:sz w:val="24"/>
              </w:rPr>
              <w:t>0360</w:t>
            </w:r>
          </w:p>
        </w:tc>
        <w:tc>
          <w:tcPr>
            <w:tcW w:w="8640" w:type="dxa"/>
          </w:tcPr>
          <w:p w14:paraId="41EC81C0"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KONSOLIDIRANI REGULATORNI KAPITAL</w:t>
            </w:r>
          </w:p>
        </w:tc>
      </w:tr>
      <w:tr w:rsidR="00173F08" w:rsidRPr="002A677E" w14:paraId="2E86BBAD" w14:textId="77777777" w:rsidTr="00822842">
        <w:tc>
          <w:tcPr>
            <w:tcW w:w="1188" w:type="dxa"/>
          </w:tcPr>
          <w:p w14:paraId="444BD8B5" w14:textId="77777777" w:rsidR="00173F08" w:rsidRPr="002A677E" w:rsidRDefault="00173F08" w:rsidP="00822842">
            <w:pPr>
              <w:rPr>
                <w:rFonts w:ascii="Times New Roman" w:hAnsi="Times New Roman"/>
                <w:sz w:val="24"/>
              </w:rPr>
            </w:pPr>
            <w:r>
              <w:rPr>
                <w:rFonts w:ascii="Times New Roman" w:hAnsi="Times New Roman"/>
                <w:sz w:val="24"/>
              </w:rPr>
              <w:t>0370</w:t>
            </w:r>
          </w:p>
        </w:tc>
        <w:tc>
          <w:tcPr>
            <w:tcW w:w="8640" w:type="dxa"/>
          </w:tcPr>
          <w:p w14:paraId="2CC57784"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OD ČEGA: REDOVNI OSNOVNI KAPITAL</w:t>
            </w:r>
          </w:p>
        </w:tc>
      </w:tr>
      <w:tr w:rsidR="00173F08" w:rsidRPr="002A677E" w14:paraId="68DCA9F1" w14:textId="77777777" w:rsidTr="00822842">
        <w:tc>
          <w:tcPr>
            <w:tcW w:w="1188" w:type="dxa"/>
          </w:tcPr>
          <w:p w14:paraId="01DAA296" w14:textId="77777777" w:rsidR="00173F08" w:rsidRPr="002A677E" w:rsidDel="0081176B" w:rsidRDefault="00173F08" w:rsidP="00822842">
            <w:pPr>
              <w:rPr>
                <w:rFonts w:ascii="Times New Roman" w:hAnsi="Times New Roman"/>
                <w:sz w:val="24"/>
              </w:rPr>
            </w:pPr>
            <w:r>
              <w:rPr>
                <w:rFonts w:ascii="Times New Roman" w:hAnsi="Times New Roman"/>
                <w:sz w:val="24"/>
              </w:rPr>
              <w:t>0380</w:t>
            </w:r>
          </w:p>
        </w:tc>
        <w:tc>
          <w:tcPr>
            <w:tcW w:w="8640" w:type="dxa"/>
          </w:tcPr>
          <w:p w14:paraId="3B9BF397" w14:textId="77777777" w:rsidR="00173F08" w:rsidRPr="002A677E" w:rsidDel="0081176B"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OD ČEGA: DODATNI OSNOVNI KAPITAL</w:t>
            </w:r>
          </w:p>
        </w:tc>
      </w:tr>
      <w:tr w:rsidR="00173F08" w:rsidRPr="002A677E" w14:paraId="0D196D2B" w14:textId="77777777" w:rsidTr="00822842">
        <w:tc>
          <w:tcPr>
            <w:tcW w:w="1188" w:type="dxa"/>
          </w:tcPr>
          <w:p w14:paraId="74707B55" w14:textId="77777777" w:rsidR="00173F08" w:rsidRPr="002A677E" w:rsidRDefault="00173F08" w:rsidP="00822842">
            <w:pPr>
              <w:rPr>
                <w:rFonts w:ascii="Times New Roman" w:hAnsi="Times New Roman"/>
                <w:sz w:val="24"/>
              </w:rPr>
            </w:pPr>
            <w:r>
              <w:rPr>
                <w:rFonts w:ascii="Times New Roman" w:hAnsi="Times New Roman"/>
                <w:sz w:val="24"/>
              </w:rPr>
              <w:t>0390</w:t>
            </w:r>
          </w:p>
        </w:tc>
        <w:tc>
          <w:tcPr>
            <w:tcW w:w="8640" w:type="dxa"/>
          </w:tcPr>
          <w:p w14:paraId="1A386497" w14:textId="77777777" w:rsidR="00173F08" w:rsidRPr="002A677E" w:rsidRDefault="00173F08" w:rsidP="00822842">
            <w:pPr>
              <w:rPr>
                <w:rStyle w:val="InstructionsTabelleText"/>
                <w:rFonts w:ascii="Times New Roman" w:hAnsi="Times New Roman"/>
                <w:sz w:val="24"/>
              </w:rPr>
            </w:pPr>
            <w:r>
              <w:rPr>
                <w:rStyle w:val="InstructionsTabelleberschrift"/>
                <w:rFonts w:ascii="Times New Roman" w:hAnsi="Times New Roman"/>
                <w:sz w:val="24"/>
              </w:rPr>
              <w:t>OD ČEGA: DOPRINOSI KONSOLIDIRANOM REZULTATU</w:t>
            </w:r>
          </w:p>
          <w:p w14:paraId="0077C050"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Iskazuje se doprinos svakog subjekta konsolidiranom rezultatu (dobit ili gubitak (–)). To uključuje rezultate koji se mogu pripisati manjinskim udjelima.</w:t>
            </w:r>
          </w:p>
        </w:tc>
      </w:tr>
      <w:tr w:rsidR="00173F08" w:rsidRPr="002A677E" w14:paraId="499357F9" w14:textId="77777777" w:rsidTr="00822842">
        <w:tc>
          <w:tcPr>
            <w:tcW w:w="1188" w:type="dxa"/>
          </w:tcPr>
          <w:p w14:paraId="237DD5A1" w14:textId="77777777" w:rsidR="00173F08" w:rsidRPr="002A677E" w:rsidRDefault="00173F08" w:rsidP="00822842">
            <w:pPr>
              <w:rPr>
                <w:rFonts w:ascii="Times New Roman" w:hAnsi="Times New Roman"/>
                <w:sz w:val="24"/>
              </w:rPr>
            </w:pPr>
            <w:r>
              <w:rPr>
                <w:rFonts w:ascii="Times New Roman" w:hAnsi="Times New Roman"/>
                <w:sz w:val="24"/>
              </w:rPr>
              <w:t>0400</w:t>
            </w:r>
          </w:p>
        </w:tc>
        <w:tc>
          <w:tcPr>
            <w:tcW w:w="8640" w:type="dxa"/>
          </w:tcPr>
          <w:p w14:paraId="2D7939A6"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OD ČEGA: (–) GOODWILL/(+) NEGATIVAN GOODWILL</w:t>
            </w:r>
          </w:p>
          <w:p w14:paraId="1EA56152"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 xml:space="preserve">Ovdje se iskazuje </w:t>
            </w:r>
            <w:proofErr w:type="spellStart"/>
            <w:r>
              <w:rPr>
                <w:rStyle w:val="InstructionsTabelleText"/>
                <w:rFonts w:ascii="Times New Roman" w:hAnsi="Times New Roman"/>
                <w:sz w:val="24"/>
              </w:rPr>
              <w:t>goodwill</w:t>
            </w:r>
            <w:proofErr w:type="spellEnd"/>
            <w:r>
              <w:rPr>
                <w:rStyle w:val="InstructionsTabelleText"/>
                <w:rFonts w:ascii="Times New Roman" w:hAnsi="Times New Roman"/>
                <w:sz w:val="24"/>
              </w:rPr>
              <w:t xml:space="preserve"> ili negativan </w:t>
            </w:r>
            <w:proofErr w:type="spellStart"/>
            <w:r>
              <w:rPr>
                <w:rStyle w:val="InstructionsTabelleText"/>
                <w:rFonts w:ascii="Times New Roman" w:hAnsi="Times New Roman"/>
                <w:sz w:val="24"/>
              </w:rPr>
              <w:t>goodwill</w:t>
            </w:r>
            <w:proofErr w:type="spellEnd"/>
            <w:r>
              <w:rPr>
                <w:rStyle w:val="InstructionsTabelleText"/>
                <w:rFonts w:ascii="Times New Roman" w:hAnsi="Times New Roman"/>
                <w:sz w:val="24"/>
              </w:rPr>
              <w:t xml:space="preserve"> subjekta koji izvješćuje o društvu kćeri.</w:t>
            </w:r>
          </w:p>
        </w:tc>
      </w:tr>
      <w:tr w:rsidR="00173F08" w:rsidRPr="002A677E" w14:paraId="33B902F7" w14:textId="77777777" w:rsidTr="00822842">
        <w:tc>
          <w:tcPr>
            <w:tcW w:w="1188" w:type="dxa"/>
          </w:tcPr>
          <w:p w14:paraId="34A2D119"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0410-0480</w:t>
            </w:r>
          </w:p>
        </w:tc>
        <w:tc>
          <w:tcPr>
            <w:tcW w:w="8640" w:type="dxa"/>
          </w:tcPr>
          <w:p w14:paraId="653C81F3"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ZAŠTITNI SLOJEVI KAPITALA</w:t>
            </w:r>
          </w:p>
          <w:p w14:paraId="5D522742" w14:textId="77777777" w:rsidR="00173F08" w:rsidRPr="002A677E" w:rsidRDefault="00173F08" w:rsidP="00822842">
            <w:pPr>
              <w:rPr>
                <w:rStyle w:val="InstructionsTabelleberschrift"/>
                <w:rFonts w:ascii="Times New Roman" w:hAnsi="Times New Roman"/>
                <w:b w:val="0"/>
                <w:sz w:val="24"/>
              </w:rPr>
            </w:pPr>
            <w:r>
              <w:rPr>
                <w:rStyle w:val="InstructionsTabelleberschrift"/>
                <w:rFonts w:ascii="Times New Roman" w:hAnsi="Times New Roman"/>
                <w:sz w:val="24"/>
              </w:rPr>
              <w:t xml:space="preserve">Struktura izvješćivanja o zaštitnim slojevima kapitala za obrazac GS slijedi opću strukturu obrasca CA4, primjenom jednakih koncepata izvješćivanja. Pri iskazivanju zaštitnih slojeva kapitala za obrazac GS, iskazuju se relevantni iznosi u skladu s odredbama koje se primjenjuju na utvrđivanje zahtjeva za zaštitni sloj za konsolidiranu situaciju grupe. Stoga iskazani iznosi zaštitnih slojeva kapitala predstavljaju doprinose svakog subjekta zaštitnim slojevima grupe. </w:t>
            </w:r>
            <w:r w:rsidRPr="007A58AC">
              <w:rPr>
                <w:rFonts w:ascii="Times New Roman" w:hAnsi="Times New Roman"/>
                <w:b/>
                <w:bCs/>
                <w:sz w:val="24"/>
                <w:u w:val="single"/>
              </w:rPr>
              <w:t>Iskazani iznosi temelje se na nacionalnim mjerama za prenošenje</w:t>
            </w:r>
            <w:r>
              <w:rPr>
                <w:rFonts w:ascii="Times New Roman" w:hAnsi="Times New Roman"/>
                <w:sz w:val="24"/>
              </w:rPr>
              <w:t xml:space="preserve"> Direktive 2013/36/EU </w:t>
            </w:r>
            <w:r w:rsidRPr="007A58AC">
              <w:rPr>
                <w:rFonts w:ascii="Times New Roman" w:hAnsi="Times New Roman"/>
                <w:b/>
                <w:bCs/>
                <w:sz w:val="24"/>
                <w:u w:val="single"/>
              </w:rPr>
              <w:t>i na</w:t>
            </w:r>
            <w:r>
              <w:rPr>
                <w:rFonts w:ascii="Times New Roman" w:hAnsi="Times New Roman"/>
                <w:sz w:val="24"/>
              </w:rPr>
              <w:t xml:space="preserve"> Uredbi (EU) br. 575/2013, </w:t>
            </w:r>
            <w:r w:rsidRPr="007A58AC">
              <w:rPr>
                <w:rFonts w:ascii="Times New Roman" w:hAnsi="Times New Roman"/>
                <w:b/>
                <w:bCs/>
                <w:sz w:val="24"/>
                <w:u w:val="single"/>
              </w:rPr>
              <w:t>uključujući sve prijelazne odredbe koje su u njima utvrđene.</w:t>
            </w:r>
          </w:p>
        </w:tc>
      </w:tr>
      <w:tr w:rsidR="00173F08" w:rsidRPr="002A677E" w14:paraId="63DC141B" w14:textId="77777777" w:rsidTr="00822842">
        <w:tc>
          <w:tcPr>
            <w:tcW w:w="1188" w:type="dxa"/>
          </w:tcPr>
          <w:p w14:paraId="5BB39E76"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0410</w:t>
            </w:r>
          </w:p>
        </w:tc>
        <w:tc>
          <w:tcPr>
            <w:tcW w:w="8640" w:type="dxa"/>
          </w:tcPr>
          <w:p w14:paraId="14D301D1"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ZAHTJEVI ZA KOMBINIRANI ZAŠTITNI SLOJ</w:t>
            </w:r>
          </w:p>
          <w:p w14:paraId="7DF96672" w14:textId="77777777" w:rsidR="00173F08" w:rsidRPr="002A677E" w:rsidRDefault="00173F08" w:rsidP="00822842">
            <w:pPr>
              <w:tabs>
                <w:tab w:val="left" w:pos="3510"/>
              </w:tabs>
              <w:rPr>
                <w:rStyle w:val="InstructionsTabelleberschrift"/>
                <w:rFonts w:ascii="Times New Roman" w:hAnsi="Times New Roman"/>
                <w:sz w:val="24"/>
              </w:rPr>
            </w:pPr>
            <w:r>
              <w:rPr>
                <w:rFonts w:ascii="Times New Roman" w:hAnsi="Times New Roman"/>
                <w:sz w:val="24"/>
              </w:rPr>
              <w:t>Članak 128. točka 6. Direktive 2013/36/EU</w:t>
            </w:r>
          </w:p>
        </w:tc>
      </w:tr>
      <w:tr w:rsidR="00173F08" w:rsidRPr="002A677E" w14:paraId="4304DCA5" w14:textId="77777777" w:rsidTr="00822842">
        <w:tc>
          <w:tcPr>
            <w:tcW w:w="1188" w:type="dxa"/>
          </w:tcPr>
          <w:p w14:paraId="0CFC30D8"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0420</w:t>
            </w:r>
          </w:p>
        </w:tc>
        <w:tc>
          <w:tcPr>
            <w:tcW w:w="8640" w:type="dxa"/>
          </w:tcPr>
          <w:p w14:paraId="41EA8A90"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ZAŠTITNI SLOJ ZA OČUVANJE KAPITALA</w:t>
            </w:r>
          </w:p>
          <w:p w14:paraId="5DD283B6"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Članak 128. točka 1. i članak 129. Direktive 2013/36/EU</w:t>
            </w:r>
          </w:p>
          <w:p w14:paraId="7013CF4E" w14:textId="77777777" w:rsidR="00173F08" w:rsidRPr="002A677E" w:rsidRDefault="00173F08" w:rsidP="00822842">
            <w:pPr>
              <w:pStyle w:val="InstructionsText"/>
              <w:rPr>
                <w:rStyle w:val="InstructionsTabelleText"/>
              </w:rPr>
            </w:pPr>
            <w:r>
              <w:t>U skladu s člankom 129. stavkom 1. Direktive 2013/36/EU, zaštitni sloj za očuvanje kapitala dodatni je iznos redovnog osnovnog kapitala. Budući da je stopa zaštitnog sloja za očuvanje kapitala od 2,5 % stabilna, iznos se iskazuje u ovoj rubrici.</w:t>
            </w:r>
          </w:p>
        </w:tc>
      </w:tr>
      <w:tr w:rsidR="00173F08" w:rsidRPr="002A677E" w14:paraId="33A8BFBD" w14:textId="77777777" w:rsidTr="00822842">
        <w:tc>
          <w:tcPr>
            <w:tcW w:w="1188" w:type="dxa"/>
          </w:tcPr>
          <w:p w14:paraId="2C9182C7"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0430</w:t>
            </w:r>
          </w:p>
        </w:tc>
        <w:tc>
          <w:tcPr>
            <w:tcW w:w="8640" w:type="dxa"/>
          </w:tcPr>
          <w:p w14:paraId="6552E827"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PROTUCIKLIČKI ZAŠTITNI SLOJ KAPITALA SPECIFIČAN ZA INSTITUCIJU</w:t>
            </w:r>
          </w:p>
          <w:p w14:paraId="38A11488"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Članak 128. točka 2., članak 130. i članci od 135. do 140. Direktive 2013/36/EU</w:t>
            </w:r>
          </w:p>
          <w:p w14:paraId="169D829F" w14:textId="77777777" w:rsidR="00173F08" w:rsidRPr="002A677E" w:rsidRDefault="00173F08" w:rsidP="00822842">
            <w:pPr>
              <w:pStyle w:val="InstructionsText"/>
              <w:rPr>
                <w:rStyle w:val="InstructionsTabelleText"/>
              </w:rPr>
            </w:pPr>
            <w:r>
              <w:lastRenderedPageBreak/>
              <w:t xml:space="preserve">U ovoj se rubrici iskazuje konkretan iznos </w:t>
            </w:r>
            <w:proofErr w:type="spellStart"/>
            <w:r>
              <w:t>protucikličkog</w:t>
            </w:r>
            <w:proofErr w:type="spellEnd"/>
            <w:r>
              <w:t xml:space="preserve"> zaštitnog sloja.</w:t>
            </w:r>
          </w:p>
        </w:tc>
      </w:tr>
      <w:tr w:rsidR="00173F08" w:rsidRPr="002A677E" w14:paraId="393ED63D" w14:textId="77777777" w:rsidTr="00822842">
        <w:tc>
          <w:tcPr>
            <w:tcW w:w="1188" w:type="dxa"/>
          </w:tcPr>
          <w:p w14:paraId="6BD0956B" w14:textId="77777777" w:rsidR="00173F08" w:rsidRPr="002A677E" w:rsidDel="00D70027"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0440</w:t>
            </w:r>
          </w:p>
        </w:tc>
        <w:tc>
          <w:tcPr>
            <w:tcW w:w="8640" w:type="dxa"/>
          </w:tcPr>
          <w:p w14:paraId="3C0108F5"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ZAŠTITNI SLOJ ZA OČUVANJE KAPITALA ZBOG MAKROBONITETNOG ILI SISTEMSKOG RIZIKA UTVRĐENOG NA RAZINI DRŽAVE ČLANICE</w:t>
            </w:r>
          </w:p>
          <w:p w14:paraId="0EC165D1" w14:textId="77777777" w:rsidR="00173F08" w:rsidRPr="002A677E" w:rsidRDefault="00173F08" w:rsidP="00822842">
            <w:pPr>
              <w:rPr>
                <w:rStyle w:val="InstructionsTabelleberschrift"/>
                <w:rFonts w:ascii="Times New Roman" w:hAnsi="Times New Roman"/>
                <w:b w:val="0"/>
                <w:sz w:val="24"/>
              </w:rPr>
            </w:pPr>
            <w:r>
              <w:rPr>
                <w:rFonts w:ascii="Times New Roman" w:hAnsi="Times New Roman"/>
                <w:sz w:val="24"/>
              </w:rPr>
              <w:t xml:space="preserve">Članak 458. stavak 2. točka (d) </w:t>
            </w:r>
            <w:proofErr w:type="spellStart"/>
            <w:r>
              <w:rPr>
                <w:rFonts w:ascii="Times New Roman" w:hAnsi="Times New Roman"/>
                <w:sz w:val="24"/>
              </w:rPr>
              <w:t>podtočka</w:t>
            </w:r>
            <w:proofErr w:type="spellEnd"/>
            <w:r>
              <w:rPr>
                <w:rFonts w:ascii="Times New Roman" w:hAnsi="Times New Roman"/>
                <w:sz w:val="24"/>
              </w:rPr>
              <w:t xml:space="preserve"> iv. Uredbe (EU) br. 575/2013</w:t>
            </w:r>
          </w:p>
          <w:p w14:paraId="2C6BA8FE" w14:textId="77777777" w:rsidR="00173F08" w:rsidRPr="002A677E" w:rsidRDefault="00173F08" w:rsidP="00822842">
            <w:pPr>
              <w:pStyle w:val="InstructionsText"/>
              <w:rPr>
                <w:rStyle w:val="InstructionsTabelleberschrift"/>
              </w:rPr>
            </w:pPr>
            <w:r>
              <w:t xml:space="preserve">U ovoj se rubrici iskazuje iznos zaštitnog sloja za očuvanje kapitala zbog </w:t>
            </w:r>
            <w:proofErr w:type="spellStart"/>
            <w:r>
              <w:t>makrobonitetnog</w:t>
            </w:r>
            <w:proofErr w:type="spellEnd"/>
            <w:r>
              <w:t xml:space="preserve"> ili sistemskog rizika utvrđenog na razini države članice koji se može zatražiti u skladu s člankom 458. Uredbe (EU) br. 575/2013 uz zaštitni sloj za očuvanje kapitala.</w:t>
            </w:r>
          </w:p>
        </w:tc>
      </w:tr>
      <w:tr w:rsidR="00173F08" w:rsidRPr="002A677E" w14:paraId="4E8C2CA8" w14:textId="77777777" w:rsidTr="00822842">
        <w:tc>
          <w:tcPr>
            <w:tcW w:w="1188" w:type="dxa"/>
          </w:tcPr>
          <w:p w14:paraId="3AADC451"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0450</w:t>
            </w:r>
          </w:p>
        </w:tc>
        <w:tc>
          <w:tcPr>
            <w:tcW w:w="8640" w:type="dxa"/>
          </w:tcPr>
          <w:p w14:paraId="37512F51"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ZAŠTITNI SLOJ ZA SISTEMSKI RIZIK</w:t>
            </w:r>
          </w:p>
          <w:p w14:paraId="409112BD" w14:textId="77777777" w:rsidR="00173F08" w:rsidRPr="002A677E" w:rsidRDefault="00173F08" w:rsidP="00822842">
            <w:pPr>
              <w:pStyle w:val="InstructionsText"/>
            </w:pPr>
            <w:r>
              <w:t xml:space="preserve">Članak 128. točka 5. i članci 133. i 134. Direktive 2013/36/EU </w:t>
            </w:r>
          </w:p>
          <w:p w14:paraId="1888AE1C" w14:textId="77777777" w:rsidR="00173F08" w:rsidRPr="001235ED" w:rsidRDefault="00173F08" w:rsidP="00822842">
            <w:pPr>
              <w:rPr>
                <w:rStyle w:val="InstructionsTabelleberschrift"/>
                <w:rFonts w:ascii="Times New Roman" w:hAnsi="Times New Roman"/>
                <w:sz w:val="24"/>
              </w:rPr>
            </w:pPr>
            <w:r>
              <w:rPr>
                <w:rFonts w:ascii="Times New Roman" w:hAnsi="Times New Roman"/>
                <w:sz w:val="24"/>
              </w:rPr>
              <w:t>U ovoj se rubrici iskazuje iznos zaštitnog sloja za sistemski rizik.</w:t>
            </w:r>
          </w:p>
        </w:tc>
      </w:tr>
      <w:tr w:rsidR="00173F08" w:rsidRPr="002A677E" w14:paraId="1CE0C973" w14:textId="77777777" w:rsidTr="00822842">
        <w:tc>
          <w:tcPr>
            <w:tcW w:w="1188" w:type="dxa"/>
          </w:tcPr>
          <w:p w14:paraId="729A039E"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0470</w:t>
            </w:r>
          </w:p>
        </w:tc>
        <w:tc>
          <w:tcPr>
            <w:tcW w:w="8640" w:type="dxa"/>
          </w:tcPr>
          <w:p w14:paraId="1989B565" w14:textId="77777777" w:rsidR="00173F08" w:rsidRPr="002A677E" w:rsidRDefault="00173F08" w:rsidP="00822842">
            <w:pPr>
              <w:tabs>
                <w:tab w:val="left" w:pos="6660"/>
              </w:tabs>
              <w:rPr>
                <w:rStyle w:val="InstructionsTabelleberschrift"/>
                <w:rFonts w:ascii="Times New Roman" w:hAnsi="Times New Roman"/>
                <w:sz w:val="24"/>
              </w:rPr>
            </w:pPr>
            <w:r>
              <w:rPr>
                <w:rStyle w:val="InstructionsTabelleberschrift"/>
                <w:rFonts w:ascii="Times New Roman" w:hAnsi="Times New Roman"/>
                <w:sz w:val="24"/>
              </w:rPr>
              <w:t>ZAŠTITNI SLOJ ZA GLOBALNE SISTEMSKI VAŽNE INSTITUCIJE</w:t>
            </w:r>
            <w:r>
              <w:rPr>
                <w:rStyle w:val="InstructionsTabelleberschrift"/>
                <w:rFonts w:ascii="Times New Roman" w:hAnsi="Times New Roman"/>
                <w:sz w:val="24"/>
              </w:rPr>
              <w:tab/>
            </w:r>
          </w:p>
          <w:p w14:paraId="530093DF" w14:textId="77777777" w:rsidR="00173F08" w:rsidRPr="002A677E" w:rsidRDefault="00173F08" w:rsidP="00822842">
            <w:pPr>
              <w:pStyle w:val="InstructionsText"/>
              <w:rPr>
                <w:rStyle w:val="InstructionsTabelleberschrift"/>
                <w:b w:val="0"/>
              </w:rPr>
            </w:pPr>
            <w:r>
              <w:t>Članak 128. točka 3. i članak 131. Direktive 2013/36/EU</w:t>
            </w:r>
          </w:p>
          <w:p w14:paraId="5835A3FB" w14:textId="77777777" w:rsidR="00173F08" w:rsidRPr="002A677E" w:rsidRDefault="00173F08" w:rsidP="00822842">
            <w:pPr>
              <w:pStyle w:val="InstructionsText"/>
              <w:rPr>
                <w:rStyle w:val="InstructionsTabelleberschrift"/>
              </w:rPr>
            </w:pPr>
            <w:r>
              <w:t>U ovoj se rubrici iskazuje iznos zaštitnog sloja za globalne sistemski važne institucije.</w:t>
            </w:r>
          </w:p>
        </w:tc>
      </w:tr>
      <w:tr w:rsidR="00173F08" w:rsidRPr="002A677E" w14:paraId="57BA6A14" w14:textId="77777777" w:rsidTr="00822842">
        <w:tc>
          <w:tcPr>
            <w:tcW w:w="1188" w:type="dxa"/>
          </w:tcPr>
          <w:p w14:paraId="769CFE84"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0480</w:t>
            </w:r>
          </w:p>
        </w:tc>
        <w:tc>
          <w:tcPr>
            <w:tcW w:w="8640" w:type="dxa"/>
          </w:tcPr>
          <w:p w14:paraId="7FDD0190" w14:textId="77777777" w:rsidR="00173F08" w:rsidRPr="002A677E" w:rsidRDefault="00173F08" w:rsidP="00822842">
            <w:pPr>
              <w:tabs>
                <w:tab w:val="left" w:pos="6315"/>
              </w:tabs>
              <w:rPr>
                <w:rStyle w:val="InstructionsTabelleberschrift"/>
                <w:rFonts w:ascii="Times New Roman" w:hAnsi="Times New Roman"/>
                <w:sz w:val="24"/>
              </w:rPr>
            </w:pPr>
            <w:r>
              <w:rPr>
                <w:rStyle w:val="InstructionsTabelleberschrift"/>
                <w:rFonts w:ascii="Times New Roman" w:hAnsi="Times New Roman"/>
                <w:sz w:val="24"/>
              </w:rPr>
              <w:t>ZAŠTITNI SLOJ ZA OSTALE SISTEMSKI VAŽNE INSTITUCIJE</w:t>
            </w:r>
            <w:r>
              <w:rPr>
                <w:rStyle w:val="InstructionsTabelleberschrift"/>
                <w:rFonts w:ascii="Times New Roman" w:hAnsi="Times New Roman"/>
                <w:sz w:val="24"/>
              </w:rPr>
              <w:tab/>
            </w:r>
          </w:p>
          <w:p w14:paraId="5C91FC01" w14:textId="77777777" w:rsidR="00173F08" w:rsidRPr="002A677E" w:rsidRDefault="00173F08" w:rsidP="00822842">
            <w:pPr>
              <w:pStyle w:val="InstructionsText"/>
            </w:pPr>
            <w:r>
              <w:t>Članak 128. točka 4. i članak 131. Direktive 2013/36/EU</w:t>
            </w:r>
          </w:p>
          <w:p w14:paraId="677D9498" w14:textId="77777777" w:rsidR="00173F08" w:rsidRPr="002A677E" w:rsidRDefault="00173F08" w:rsidP="00822842">
            <w:pPr>
              <w:pStyle w:val="InstructionsText"/>
              <w:rPr>
                <w:rStyle w:val="InstructionsTabelleberschrift"/>
              </w:rPr>
            </w:pPr>
            <w:r>
              <w:t>U ovoj se rubrici iskazuje iznos zaštitnog sloja za ostale sistemski važne institucije.</w:t>
            </w:r>
          </w:p>
        </w:tc>
      </w:tr>
    </w:tbl>
    <w:p w14:paraId="25845975" w14:textId="77777777" w:rsidR="00173F08" w:rsidRPr="002A677E" w:rsidRDefault="00173F08" w:rsidP="00173F08">
      <w:pPr>
        <w:pStyle w:val="InstructionsText"/>
      </w:pPr>
    </w:p>
    <w:p w14:paraId="1EA0AB00" w14:textId="77777777" w:rsidR="00BF2D9E" w:rsidRDefault="00BF2D9E"/>
    <w:p w14:paraId="12D86B4B" w14:textId="77777777" w:rsidR="00BF2D9E" w:rsidRDefault="00BF2D9E"/>
    <w:sectPr w:rsidR="00BF2D9E">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C7DA1E" w14:textId="77777777" w:rsidR="009871DF" w:rsidRDefault="009871DF" w:rsidP="00E26A90">
      <w:pPr>
        <w:spacing w:after="0"/>
      </w:pPr>
      <w:r>
        <w:separator/>
      </w:r>
    </w:p>
  </w:endnote>
  <w:endnote w:type="continuationSeparator" w:id="0">
    <w:p w14:paraId="6BF50B3E" w14:textId="77777777" w:rsidR="009871DF" w:rsidRDefault="009871DF"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7EE35E" w14:textId="77777777" w:rsidR="009871DF" w:rsidRDefault="009871DF" w:rsidP="00E26A90">
      <w:pPr>
        <w:spacing w:after="0"/>
      </w:pPr>
      <w:r>
        <w:separator/>
      </w:r>
    </w:p>
  </w:footnote>
  <w:footnote w:type="continuationSeparator" w:id="0">
    <w:p w14:paraId="42005157" w14:textId="77777777" w:rsidR="009871DF" w:rsidRDefault="009871DF" w:rsidP="00E26A9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Redovita primjen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Redovita primjena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5DF06BF" id="_x0000_t202" coordsize="21600,21600" o:spt="202" path="m,l,21600r21600,l21600,xe">
              <v:stroke joinstyle="miter"/>
              <v:path gradientshapeok="t" o:connecttype="rect"/>
            </v:shapetype>
            <v:shape id="Text Box 2" o:spid="_x0000_s1026" type="#_x0000_t202" alt="Title:  - Description: EBA Redovita primjena"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Redovita primjena</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Redovita primjen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Redovita primjena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02959BA" id="_x0000_t202" coordsize="21600,21600" o:spt="202" path="m,l,21600r21600,l21600,xe">
              <v:stroke joinstyle="miter"/>
              <v:path gradientshapeok="t" o:connecttype="rect"/>
            </v:shapetype>
            <v:shape id="Text Box 3" o:spid="_x0000_s1027" type="#_x0000_t202" alt="Title:  - Description: EBA Redovita primjena"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Redovita primjena</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Redovita primjen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Redovita primjena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1B4A3D6F" id="_x0000_t202" coordsize="21600,21600" o:spt="202" path="m,l,21600r21600,l21600,xe">
              <v:stroke joinstyle="miter"/>
              <v:path gradientshapeok="t" o:connecttype="rect"/>
            </v:shapetype>
            <v:shape id="Text Box 1" o:spid="_x0000_s1028" type="#_x0000_t202" alt="Title:  - Description: EBA Redovita primjena"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Redovita primjena</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 w15:restartNumberingAfterBreak="0">
    <w:nsid w:val="400F4A0D"/>
    <w:multiLevelType w:val="hybridMultilevel"/>
    <w:tmpl w:val="CB32C90E"/>
    <w:lvl w:ilvl="0" w:tplc="80BA033E">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num w:numId="1" w16cid:durableId="1485394352">
    <w:abstractNumId w:val="2"/>
  </w:num>
  <w:num w:numId="2" w16cid:durableId="1923681300">
    <w:abstractNumId w:val="0"/>
  </w:num>
  <w:num w:numId="3" w16cid:durableId="21061503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04FA0"/>
    <w:rsid w:val="00102F11"/>
    <w:rsid w:val="0011055A"/>
    <w:rsid w:val="00173F08"/>
    <w:rsid w:val="00601EA3"/>
    <w:rsid w:val="00631623"/>
    <w:rsid w:val="00694862"/>
    <w:rsid w:val="00702B2E"/>
    <w:rsid w:val="00780E9B"/>
    <w:rsid w:val="007A58AC"/>
    <w:rsid w:val="009871DF"/>
    <w:rsid w:val="00A6002C"/>
    <w:rsid w:val="00A70706"/>
    <w:rsid w:val="00B44A0E"/>
    <w:rsid w:val="00B71F25"/>
    <w:rsid w:val="00BF2D9E"/>
    <w:rsid w:val="00C61CB8"/>
    <w:rsid w:val="00E26A90"/>
    <w:rsid w:val="00EF07A1"/>
    <w:rsid w:val="00FA1E0E"/>
    <w:rsid w:val="00FC33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3F08"/>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173F08"/>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uiPriority w:val="9"/>
    <w:semiHidden/>
    <w:unhideWhenUsed/>
    <w:qFormat/>
    <w:rsid w:val="00173F0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173F08"/>
    <w:rPr>
      <w:rFonts w:ascii="Verdana" w:eastAsia="Arial" w:hAnsi="Verdana" w:cs="Times New Roman"/>
      <w:b/>
      <w:kern w:val="0"/>
      <w:sz w:val="20"/>
      <w:szCs w:val="20"/>
      <w:u w:val="single"/>
      <w:lang w:eastAsia="x-none"/>
      <w14:ligatures w14:val="none"/>
    </w:rPr>
  </w:style>
  <w:style w:type="paragraph" w:customStyle="1" w:styleId="Instructionsberschrift2">
    <w:name w:val="Instructions Überschrift 2"/>
    <w:basedOn w:val="Heading2"/>
    <w:rsid w:val="00173F08"/>
    <w:pPr>
      <w:keepLines w:val="0"/>
      <w:numPr>
        <w:numId w:val="1"/>
      </w:numPr>
      <w:tabs>
        <w:tab w:val="num" w:pos="360"/>
      </w:tabs>
      <w:spacing w:before="240" w:after="240"/>
      <w:ind w:left="0" w:firstLine="0"/>
    </w:pPr>
    <w:rPr>
      <w:rFonts w:ascii="Verdana" w:eastAsia="Arial" w:hAnsi="Verdana" w:cs="Arial"/>
      <w:color w:val="auto"/>
      <w:sz w:val="20"/>
      <w:szCs w:val="24"/>
      <w:u w:val="single"/>
      <w:lang w:eastAsia="x-none"/>
    </w:rPr>
  </w:style>
  <w:style w:type="paragraph" w:customStyle="1" w:styleId="InstructionsText">
    <w:name w:val="Instructions Text"/>
    <w:basedOn w:val="Normal"/>
    <w:link w:val="InstructionsTextChar"/>
    <w:autoRedefine/>
    <w:rsid w:val="00173F08"/>
    <w:pPr>
      <w:spacing w:before="0"/>
      <w:ind w:left="360"/>
    </w:pPr>
    <w:rPr>
      <w:rFonts w:ascii="Times New Roman" w:hAnsi="Times New Roman"/>
      <w:sz w:val="24"/>
      <w:lang w:eastAsia="de-DE"/>
    </w:rPr>
  </w:style>
  <w:style w:type="character" w:customStyle="1" w:styleId="InstructionsTabelleberschrift">
    <w:name w:val="Instructions Tabelle Überschrift"/>
    <w:qFormat/>
    <w:rsid w:val="00173F08"/>
    <w:rPr>
      <w:rFonts w:ascii="Verdana" w:hAnsi="Verdana" w:cs="Times New Roman"/>
      <w:b/>
      <w:bCs/>
      <w:sz w:val="20"/>
      <w:u w:val="single"/>
    </w:rPr>
  </w:style>
  <w:style w:type="character" w:customStyle="1" w:styleId="InstructionsTabelleText">
    <w:name w:val="Instructions Tabelle Text"/>
    <w:rsid w:val="00173F08"/>
    <w:rPr>
      <w:rFonts w:ascii="Verdana" w:hAnsi="Verdana" w:cs="Times New Roman"/>
      <w:sz w:val="20"/>
    </w:rPr>
  </w:style>
  <w:style w:type="character" w:customStyle="1" w:styleId="FormatvorlageInstructionsTabelleText">
    <w:name w:val="Formatvorlage Instructions Tabelle Text"/>
    <w:uiPriority w:val="99"/>
    <w:qFormat/>
    <w:rsid w:val="00173F08"/>
    <w:rPr>
      <w:rFonts w:ascii="Verdana" w:hAnsi="Verdana" w:cs="Times New Roman"/>
      <w:bCs/>
      <w:sz w:val="20"/>
      <w:u w:val="none"/>
    </w:rPr>
  </w:style>
  <w:style w:type="paragraph" w:customStyle="1" w:styleId="Texte2">
    <w:name w:val="Texte 2"/>
    <w:basedOn w:val="Normal"/>
    <w:uiPriority w:val="99"/>
    <w:rsid w:val="00173F08"/>
    <w:pPr>
      <w:spacing w:after="0"/>
      <w:ind w:left="567"/>
    </w:pPr>
    <w:rPr>
      <w:sz w:val="22"/>
      <w:szCs w:val="20"/>
      <w:lang w:eastAsia="fr-FR"/>
    </w:rPr>
  </w:style>
  <w:style w:type="character" w:customStyle="1" w:styleId="InstructionsTextChar">
    <w:name w:val="Instructions Text Char"/>
    <w:link w:val="InstructionsText"/>
    <w:locked/>
    <w:rsid w:val="00173F08"/>
    <w:rPr>
      <w:rFonts w:ascii="Times New Roman" w:eastAsia="Times New Roman" w:hAnsi="Times New Roman" w:cs="Times New Roman"/>
      <w:kern w:val="0"/>
      <w:sz w:val="24"/>
      <w:szCs w:val="24"/>
      <w:lang w:eastAsia="de-DE"/>
      <w14:ligatures w14:val="none"/>
    </w:rPr>
  </w:style>
  <w:style w:type="paragraph" w:styleId="ListParagraph">
    <w:name w:val="List Paragraph"/>
    <w:basedOn w:val="Normal"/>
    <w:link w:val="ListParagraphChar"/>
    <w:uiPriority w:val="34"/>
    <w:qFormat/>
    <w:rsid w:val="00173F08"/>
    <w:pPr>
      <w:ind w:left="708"/>
    </w:pPr>
  </w:style>
  <w:style w:type="paragraph" w:customStyle="1" w:styleId="InstructionsText2">
    <w:name w:val="Instructions Text 2"/>
    <w:basedOn w:val="InstructionsText"/>
    <w:qFormat/>
    <w:rsid w:val="00173F08"/>
    <w:pPr>
      <w:numPr>
        <w:numId w:val="2"/>
      </w:numPr>
      <w:tabs>
        <w:tab w:val="num" w:pos="360"/>
      </w:tabs>
      <w:spacing w:after="240"/>
      <w:ind w:left="360" w:firstLine="0"/>
    </w:pPr>
  </w:style>
  <w:style w:type="character" w:customStyle="1" w:styleId="ListParagraphChar">
    <w:name w:val="List Paragraph Char"/>
    <w:basedOn w:val="DefaultParagraphFont"/>
    <w:link w:val="ListParagraph"/>
    <w:uiPriority w:val="34"/>
    <w:locked/>
    <w:rsid w:val="00173F08"/>
    <w:rPr>
      <w:rFonts w:ascii="Verdana" w:eastAsia="Times New Roman" w:hAnsi="Verdana" w:cs="Times New Roman"/>
      <w:kern w:val="0"/>
      <w:sz w:val="20"/>
      <w:szCs w:val="24"/>
      <w14:ligatures w14:val="none"/>
    </w:rPr>
  </w:style>
  <w:style w:type="character" w:customStyle="1" w:styleId="Heading2Char">
    <w:name w:val="Heading 2 Char"/>
    <w:basedOn w:val="DefaultParagraphFont"/>
    <w:link w:val="Heading2"/>
    <w:uiPriority w:val="9"/>
    <w:semiHidden/>
    <w:rsid w:val="00173F08"/>
    <w:rPr>
      <w:rFonts w:asciiTheme="majorHAnsi" w:eastAsiaTheme="majorEastAsia" w:hAnsiTheme="majorHAnsi" w:cstheme="majorBidi"/>
      <w:color w:val="2F5496" w:themeColor="accent1" w:themeShade="BF"/>
      <w:kern w:val="0"/>
      <w:sz w:val="26"/>
      <w:szCs w:val="26"/>
      <w14:ligatures w14:val="none"/>
    </w:rPr>
  </w:style>
  <w:style w:type="paragraph" w:styleId="Revision">
    <w:name w:val="Revision"/>
    <w:hidden/>
    <w:uiPriority w:val="99"/>
    <w:semiHidden/>
    <w:rsid w:val="00780E9B"/>
    <w:pPr>
      <w:spacing w:after="0" w:line="240" w:lineRule="auto"/>
    </w:pPr>
    <w:rPr>
      <w:rFonts w:ascii="Verdana" w:eastAsia="Times New Roman" w:hAnsi="Verdana" w:cs="Times New Roman"/>
      <w:kern w:val="0"/>
      <w:sz w:val="20"/>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9869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D1A1E76-5781-4102-A68F-1ECF8D7CB282}">
  <ds:schemaRefs>
    <ds:schemaRef ds:uri="http://schemas.microsoft.com/sharepoint/v3/contenttype/forms"/>
  </ds:schemaRefs>
</ds:datastoreItem>
</file>

<file path=customXml/itemProps2.xml><?xml version="1.0" encoding="utf-8"?>
<ds:datastoreItem xmlns:ds="http://schemas.openxmlformats.org/officeDocument/2006/customXml" ds:itemID="{AB6EFA3B-6E90-4486-AA94-6C39F1B2B49F}">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3.xml><?xml version="1.0" encoding="utf-8"?>
<ds:datastoreItem xmlns:ds="http://schemas.openxmlformats.org/officeDocument/2006/customXml" ds:itemID="{89E50918-9C0B-4A3D-8E50-746D7B0337AB}"/>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12</Pages>
  <Words>3750</Words>
  <Characters>21976</Characters>
  <Application>Microsoft Office Word</Application>
  <DocSecurity>0</DocSecurity>
  <Lines>523</Lines>
  <Paragraphs>338</Paragraphs>
  <ScaleCrop>false</ScaleCrop>
  <Company/>
  <LinksUpToDate>false</LinksUpToDate>
  <CharactersWithSpaces>25388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2024-06-19T18:06:00Z</dcterms:created>
  <dcterms:modified xsi:type="dcterms:W3CDTF">2024-11-22T12:10:00Z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ediaServiceImageTags">
    <vt:lpwstr/>
  </property>
  <property fmtid="{D5CDD505-2E9C-101B-9397-08002B2CF9AE}" pid="4" name="MSIP_Label_6bd9ddd1-4d20-43f6-abfa-fc3c07406f94_Enabled">
    <vt:lpwstr>true</vt:lpwstr>
  </property>
  <property fmtid="{D5CDD505-2E9C-101B-9397-08002B2CF9AE}" pid="5" name="MSIP_Label_6bd9ddd1-4d20-43f6-abfa-fc3c07406f94_SetDate">
    <vt:lpwstr>2024-11-22T12:10:07Z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89770341-362d-4302-a4f0-a1d3eeea4bbd</vt:lpwstr>
  </property>
  <property fmtid="{D5CDD505-2E9C-101B-9397-08002B2CF9AE}" pid="10" name="MSIP_Label_6bd9ddd1-4d20-43f6-abfa-fc3c07406f94_ContentBits">
    <vt:lpwstr>0</vt:lpwstr>
  </property>
</Properties>
</file>